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0EE42" w14:textId="77777777" w:rsidR="00CA076B" w:rsidRPr="00185CDE" w:rsidRDefault="00CA076B" w:rsidP="00CA076B">
      <w:pPr>
        <w:spacing w:after="189" w:line="259" w:lineRule="auto"/>
        <w:ind w:left="0" w:firstLine="0"/>
        <w:jc w:val="center"/>
        <w:rPr>
          <w:sz w:val="20"/>
          <w:szCs w:val="20"/>
        </w:rPr>
      </w:pPr>
      <w:bookmarkStart w:id="0" w:name="_GoBack"/>
      <w:bookmarkEnd w:id="0"/>
      <w:r w:rsidRPr="00185CDE">
        <w:rPr>
          <w:noProof/>
          <w:sz w:val="20"/>
          <w:szCs w:val="20"/>
        </w:rPr>
        <w:drawing>
          <wp:inline distT="0" distB="0" distL="0" distR="0" wp14:anchorId="1B1B04FF" wp14:editId="769B6B99">
            <wp:extent cx="1366887" cy="136207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46072" cy="1440981"/>
                    </a:xfrm>
                    <a:prstGeom prst="rect">
                      <a:avLst/>
                    </a:prstGeom>
                  </pic:spPr>
                </pic:pic>
              </a:graphicData>
            </a:graphic>
          </wp:inline>
        </w:drawing>
      </w:r>
    </w:p>
    <w:p w14:paraId="11914726" w14:textId="77777777" w:rsidR="00CA076B" w:rsidRDefault="00CA076B" w:rsidP="004055CB">
      <w:pPr>
        <w:spacing w:after="0" w:line="259" w:lineRule="auto"/>
        <w:ind w:left="1020" w:right="196" w:firstLine="0"/>
        <w:jc w:val="center"/>
        <w:rPr>
          <w:b/>
          <w:sz w:val="24"/>
          <w:szCs w:val="24"/>
        </w:rPr>
      </w:pPr>
      <w:r w:rsidRPr="004055CB">
        <w:rPr>
          <w:b/>
          <w:sz w:val="24"/>
          <w:szCs w:val="24"/>
        </w:rPr>
        <w:t>ILCOR SCIENTIFIC ADVISORY STATEMENT PROPOSAL</w:t>
      </w:r>
    </w:p>
    <w:p w14:paraId="0D63493C" w14:textId="77777777" w:rsidR="004055CB" w:rsidRPr="004055CB" w:rsidRDefault="004055CB" w:rsidP="004055CB">
      <w:pPr>
        <w:spacing w:after="0" w:line="259" w:lineRule="auto"/>
        <w:ind w:left="1020" w:right="196" w:firstLine="0"/>
        <w:jc w:val="center"/>
        <w:rPr>
          <w:b/>
          <w:sz w:val="24"/>
          <w:szCs w:val="24"/>
        </w:rPr>
      </w:pPr>
    </w:p>
    <w:p w14:paraId="34FD40C3" w14:textId="77777777" w:rsidR="00CA076B" w:rsidRPr="00185CDE" w:rsidRDefault="00CA076B" w:rsidP="004055CB">
      <w:pPr>
        <w:spacing w:after="0" w:line="259" w:lineRule="auto"/>
        <w:ind w:left="1020" w:right="196" w:firstLine="0"/>
        <w:jc w:val="center"/>
        <w:rPr>
          <w:sz w:val="20"/>
          <w:szCs w:val="20"/>
        </w:rPr>
      </w:pPr>
    </w:p>
    <w:p w14:paraId="72AA5AFE" w14:textId="77777777" w:rsidR="00CA076B" w:rsidRPr="00410C7E" w:rsidRDefault="00CA076B" w:rsidP="00A1555C">
      <w:pPr>
        <w:spacing w:after="0" w:line="259" w:lineRule="auto"/>
        <w:ind w:left="0" w:right="196" w:firstLine="0"/>
        <w:rPr>
          <w:b/>
          <w:color w:val="0070C0"/>
          <w:sz w:val="22"/>
        </w:rPr>
      </w:pPr>
      <w:r w:rsidRPr="004055CB">
        <w:rPr>
          <w:b/>
          <w:sz w:val="22"/>
        </w:rPr>
        <w:t>1. Proposed Manuscript Title</w:t>
      </w:r>
      <w:r w:rsidR="00410C7E">
        <w:rPr>
          <w:b/>
          <w:sz w:val="22"/>
        </w:rPr>
        <w:t xml:space="preserve"> </w:t>
      </w:r>
      <w:r w:rsidR="009070F6">
        <w:rPr>
          <w:b/>
          <w:color w:val="0070C0"/>
          <w:sz w:val="22"/>
        </w:rPr>
        <w:t xml:space="preserve">Therapeutic Hypothermia for Neonatal Hypoxic </w:t>
      </w:r>
      <w:proofErr w:type="spellStart"/>
      <w:r w:rsidR="009070F6">
        <w:rPr>
          <w:b/>
          <w:color w:val="0070C0"/>
          <w:sz w:val="22"/>
        </w:rPr>
        <w:t>Ischaemic</w:t>
      </w:r>
      <w:proofErr w:type="spellEnd"/>
      <w:r w:rsidR="009070F6">
        <w:rPr>
          <w:b/>
          <w:color w:val="0070C0"/>
          <w:sz w:val="22"/>
        </w:rPr>
        <w:t xml:space="preserve"> Encephalopathy</w:t>
      </w:r>
    </w:p>
    <w:p w14:paraId="0C71C088" w14:textId="77777777" w:rsidR="00185CDE" w:rsidRPr="004055CB" w:rsidRDefault="00185CDE" w:rsidP="00185CDE">
      <w:pPr>
        <w:spacing w:after="0" w:line="259" w:lineRule="auto"/>
        <w:ind w:right="196"/>
        <w:rPr>
          <w:sz w:val="22"/>
        </w:rPr>
      </w:pPr>
    </w:p>
    <w:p w14:paraId="02F3D76F" w14:textId="77777777" w:rsidR="00CA076B" w:rsidRPr="004055CB" w:rsidRDefault="00CA076B" w:rsidP="00A1555C">
      <w:pPr>
        <w:spacing w:after="0" w:line="259" w:lineRule="auto"/>
        <w:ind w:left="0" w:right="196" w:firstLine="0"/>
        <w:rPr>
          <w:b/>
          <w:sz w:val="22"/>
        </w:rPr>
      </w:pPr>
      <w:r w:rsidRPr="004055CB">
        <w:rPr>
          <w:b/>
          <w:sz w:val="22"/>
        </w:rPr>
        <w:t>2. Environmental Scan</w:t>
      </w:r>
    </w:p>
    <w:p w14:paraId="5F9C6F60" w14:textId="77777777" w:rsidR="009070F6" w:rsidRPr="00F457CB" w:rsidRDefault="00296E8E" w:rsidP="00F457CB">
      <w:pPr>
        <w:pStyle w:val="ListParagraph"/>
        <w:numPr>
          <w:ilvl w:val="0"/>
          <w:numId w:val="4"/>
        </w:numPr>
        <w:spacing w:after="0" w:line="259" w:lineRule="auto"/>
        <w:ind w:right="196"/>
        <w:rPr>
          <w:i/>
          <w:sz w:val="22"/>
        </w:rPr>
      </w:pPr>
      <w:r w:rsidRPr="004055CB">
        <w:rPr>
          <w:i/>
          <w:sz w:val="22"/>
        </w:rPr>
        <w:t xml:space="preserve">What other papers are already available on same/ similar topic area </w:t>
      </w:r>
    </w:p>
    <w:p w14:paraId="0F699C9B" w14:textId="77777777" w:rsidR="009070F6" w:rsidRPr="009070F6" w:rsidRDefault="009070F6" w:rsidP="009070F6">
      <w:pPr>
        <w:spacing w:after="0" w:line="259" w:lineRule="auto"/>
        <w:ind w:right="196"/>
        <w:rPr>
          <w:i/>
          <w:color w:val="0070C0"/>
          <w:sz w:val="22"/>
        </w:rPr>
      </w:pPr>
      <w:r w:rsidRPr="009070F6">
        <w:rPr>
          <w:i/>
          <w:color w:val="0070C0"/>
          <w:sz w:val="22"/>
        </w:rPr>
        <w:t>Parga-</w:t>
      </w:r>
      <w:proofErr w:type="spellStart"/>
      <w:r w:rsidRPr="009070F6">
        <w:rPr>
          <w:i/>
          <w:color w:val="0070C0"/>
          <w:sz w:val="22"/>
        </w:rPr>
        <w:t>Belinkie</w:t>
      </w:r>
      <w:proofErr w:type="spellEnd"/>
      <w:r w:rsidRPr="009070F6">
        <w:rPr>
          <w:i/>
          <w:color w:val="0070C0"/>
          <w:sz w:val="22"/>
        </w:rPr>
        <w:t xml:space="preserve"> J, </w:t>
      </w:r>
      <w:proofErr w:type="spellStart"/>
      <w:r w:rsidRPr="009070F6">
        <w:rPr>
          <w:i/>
          <w:color w:val="0070C0"/>
          <w:sz w:val="22"/>
        </w:rPr>
        <w:t>Foglia</w:t>
      </w:r>
      <w:proofErr w:type="spellEnd"/>
      <w:r w:rsidRPr="009070F6">
        <w:rPr>
          <w:i/>
          <w:color w:val="0070C0"/>
          <w:sz w:val="22"/>
        </w:rPr>
        <w:t xml:space="preserve"> EE, </w:t>
      </w:r>
      <w:proofErr w:type="spellStart"/>
      <w:r w:rsidRPr="009070F6">
        <w:rPr>
          <w:i/>
          <w:color w:val="0070C0"/>
          <w:sz w:val="22"/>
        </w:rPr>
        <w:t>Flibotte</w:t>
      </w:r>
      <w:proofErr w:type="spellEnd"/>
      <w:r w:rsidRPr="009070F6">
        <w:rPr>
          <w:i/>
          <w:color w:val="0070C0"/>
          <w:sz w:val="22"/>
        </w:rPr>
        <w:t xml:space="preserve"> J. Caveats of Cooling: Available</w:t>
      </w:r>
    </w:p>
    <w:p w14:paraId="61A9B1E9" w14:textId="77777777" w:rsidR="009070F6" w:rsidRPr="009070F6" w:rsidRDefault="009070F6" w:rsidP="009070F6">
      <w:pPr>
        <w:spacing w:after="0" w:line="259" w:lineRule="auto"/>
        <w:ind w:right="196"/>
        <w:rPr>
          <w:i/>
          <w:color w:val="0070C0"/>
          <w:sz w:val="22"/>
        </w:rPr>
      </w:pPr>
      <w:r w:rsidRPr="009070F6">
        <w:rPr>
          <w:i/>
          <w:color w:val="0070C0"/>
          <w:sz w:val="22"/>
        </w:rPr>
        <w:t xml:space="preserve">Evidence and Ongoing Investigations of Therapeutic Hypothermia. </w:t>
      </w:r>
      <w:proofErr w:type="spellStart"/>
      <w:r w:rsidRPr="009070F6">
        <w:rPr>
          <w:i/>
          <w:color w:val="0070C0"/>
          <w:sz w:val="22"/>
        </w:rPr>
        <w:t>Neoreviews</w:t>
      </w:r>
      <w:proofErr w:type="spellEnd"/>
      <w:r w:rsidRPr="009070F6">
        <w:rPr>
          <w:i/>
          <w:color w:val="0070C0"/>
          <w:sz w:val="22"/>
        </w:rPr>
        <w:t xml:space="preserve">. 2019 </w:t>
      </w:r>
    </w:p>
    <w:p w14:paraId="461B1C0C" w14:textId="77777777" w:rsidR="00B02BFA" w:rsidRDefault="009070F6" w:rsidP="009070F6">
      <w:pPr>
        <w:spacing w:after="0" w:line="259" w:lineRule="auto"/>
        <w:ind w:right="196"/>
        <w:rPr>
          <w:i/>
          <w:color w:val="0070C0"/>
          <w:sz w:val="22"/>
        </w:rPr>
      </w:pPr>
      <w:r w:rsidRPr="009070F6">
        <w:rPr>
          <w:i/>
          <w:color w:val="0070C0"/>
          <w:sz w:val="22"/>
        </w:rPr>
        <w:t>Sep;20(9</w:t>
      </w:r>
      <w:proofErr w:type="gramStart"/>
      <w:r w:rsidRPr="009070F6">
        <w:rPr>
          <w:i/>
          <w:color w:val="0070C0"/>
          <w:sz w:val="22"/>
        </w:rPr>
        <w:t>):e</w:t>
      </w:r>
      <w:proofErr w:type="gramEnd"/>
      <w:r w:rsidRPr="009070F6">
        <w:rPr>
          <w:i/>
          <w:color w:val="0070C0"/>
          <w:sz w:val="22"/>
        </w:rPr>
        <w:t xml:space="preserve">513-e519. </w:t>
      </w:r>
    </w:p>
    <w:p w14:paraId="190FE17D" w14:textId="77777777" w:rsidR="009070F6" w:rsidRPr="009070F6" w:rsidRDefault="00B02BFA" w:rsidP="009070F6">
      <w:pPr>
        <w:spacing w:after="0" w:line="259" w:lineRule="auto"/>
        <w:ind w:right="196"/>
        <w:rPr>
          <w:i/>
          <w:color w:val="0070C0"/>
          <w:sz w:val="22"/>
        </w:rPr>
      </w:pPr>
      <w:r>
        <w:rPr>
          <w:i/>
          <w:color w:val="0070C0"/>
          <w:sz w:val="22"/>
        </w:rPr>
        <w:br/>
      </w:r>
      <w:proofErr w:type="spellStart"/>
      <w:r w:rsidR="009070F6" w:rsidRPr="009070F6">
        <w:rPr>
          <w:i/>
          <w:color w:val="0070C0"/>
          <w:sz w:val="22"/>
        </w:rPr>
        <w:t>Wassink</w:t>
      </w:r>
      <w:proofErr w:type="spellEnd"/>
      <w:r w:rsidR="009070F6" w:rsidRPr="009070F6">
        <w:rPr>
          <w:i/>
          <w:color w:val="0070C0"/>
          <w:sz w:val="22"/>
        </w:rPr>
        <w:t xml:space="preserve"> G, Davidson JO, Dhillon SK, Zhou K, Bennet L, </w:t>
      </w:r>
      <w:proofErr w:type="spellStart"/>
      <w:r w:rsidR="009070F6" w:rsidRPr="009070F6">
        <w:rPr>
          <w:i/>
          <w:color w:val="0070C0"/>
          <w:sz w:val="22"/>
        </w:rPr>
        <w:t>Thoresen</w:t>
      </w:r>
      <w:proofErr w:type="spellEnd"/>
      <w:r w:rsidR="009070F6" w:rsidRPr="009070F6">
        <w:rPr>
          <w:i/>
          <w:color w:val="0070C0"/>
          <w:sz w:val="22"/>
        </w:rPr>
        <w:t xml:space="preserve"> M, Gunn AJ.</w:t>
      </w:r>
    </w:p>
    <w:p w14:paraId="114A25D2" w14:textId="77777777" w:rsidR="009070F6" w:rsidRPr="009070F6" w:rsidRDefault="009070F6" w:rsidP="009070F6">
      <w:pPr>
        <w:spacing w:after="0" w:line="259" w:lineRule="auto"/>
        <w:ind w:right="196"/>
        <w:rPr>
          <w:i/>
          <w:color w:val="0070C0"/>
          <w:sz w:val="22"/>
        </w:rPr>
      </w:pPr>
      <w:r w:rsidRPr="009070F6">
        <w:rPr>
          <w:i/>
          <w:color w:val="0070C0"/>
          <w:sz w:val="22"/>
        </w:rPr>
        <w:t xml:space="preserve">Therapeutic Hypothermia in Neonatal Hypoxic-Ischemic Encephalopathy. </w:t>
      </w:r>
      <w:proofErr w:type="spellStart"/>
      <w:r w:rsidRPr="009070F6">
        <w:rPr>
          <w:i/>
          <w:color w:val="0070C0"/>
          <w:sz w:val="22"/>
        </w:rPr>
        <w:t>Curr</w:t>
      </w:r>
      <w:proofErr w:type="spellEnd"/>
      <w:r w:rsidRPr="009070F6">
        <w:rPr>
          <w:i/>
          <w:color w:val="0070C0"/>
          <w:sz w:val="22"/>
        </w:rPr>
        <w:t xml:space="preserve"> </w:t>
      </w:r>
      <w:proofErr w:type="spellStart"/>
      <w:r w:rsidRPr="009070F6">
        <w:rPr>
          <w:i/>
          <w:color w:val="0070C0"/>
          <w:sz w:val="22"/>
        </w:rPr>
        <w:t>Neurol</w:t>
      </w:r>
      <w:proofErr w:type="spellEnd"/>
      <w:r w:rsidRPr="009070F6">
        <w:rPr>
          <w:i/>
          <w:color w:val="0070C0"/>
          <w:sz w:val="22"/>
        </w:rPr>
        <w:t xml:space="preserve"> </w:t>
      </w:r>
    </w:p>
    <w:p w14:paraId="64999F9C" w14:textId="77777777" w:rsidR="00B02BFA" w:rsidRPr="00B02BFA" w:rsidRDefault="009070F6" w:rsidP="00F457CB">
      <w:pPr>
        <w:spacing w:after="0" w:line="259" w:lineRule="auto"/>
        <w:ind w:right="196"/>
        <w:rPr>
          <w:i/>
          <w:color w:val="0070C0"/>
          <w:sz w:val="22"/>
        </w:rPr>
      </w:pPr>
      <w:proofErr w:type="spellStart"/>
      <w:r w:rsidRPr="009070F6">
        <w:rPr>
          <w:i/>
          <w:color w:val="0070C0"/>
          <w:sz w:val="22"/>
        </w:rPr>
        <w:t>Neurosci</w:t>
      </w:r>
      <w:proofErr w:type="spellEnd"/>
      <w:r w:rsidRPr="009070F6">
        <w:rPr>
          <w:i/>
          <w:color w:val="0070C0"/>
          <w:sz w:val="22"/>
        </w:rPr>
        <w:t xml:space="preserve"> Rep. 2019 Jan 14;19(2):2. </w:t>
      </w:r>
    </w:p>
    <w:p w14:paraId="748D17F5" w14:textId="77777777" w:rsidR="00B02BFA" w:rsidRDefault="00B02BFA" w:rsidP="00B02BFA">
      <w:pPr>
        <w:spacing w:after="0" w:line="259" w:lineRule="auto"/>
        <w:ind w:left="0" w:right="196" w:firstLine="0"/>
        <w:rPr>
          <w:sz w:val="22"/>
        </w:rPr>
      </w:pPr>
    </w:p>
    <w:p w14:paraId="63DD0E9C" w14:textId="77777777" w:rsidR="00B02BFA" w:rsidRPr="00F457CB" w:rsidRDefault="000B1B43" w:rsidP="00F457CB">
      <w:pPr>
        <w:pStyle w:val="ListParagraph"/>
        <w:numPr>
          <w:ilvl w:val="0"/>
          <w:numId w:val="8"/>
        </w:numPr>
        <w:spacing w:after="0" w:line="259" w:lineRule="auto"/>
        <w:ind w:right="196"/>
        <w:rPr>
          <w:sz w:val="22"/>
        </w:rPr>
      </w:pPr>
      <w:r w:rsidRPr="00F457CB">
        <w:rPr>
          <w:sz w:val="22"/>
        </w:rPr>
        <w:t>Previous systematic reviews:</w:t>
      </w:r>
      <w:r w:rsidR="00410C7E" w:rsidRPr="00F457CB">
        <w:rPr>
          <w:sz w:val="22"/>
        </w:rPr>
        <w:t xml:space="preserve"> </w:t>
      </w:r>
    </w:p>
    <w:p w14:paraId="32865336" w14:textId="77777777" w:rsidR="00B02BFA" w:rsidRPr="009070F6" w:rsidRDefault="00B02BFA" w:rsidP="00B02BFA">
      <w:pPr>
        <w:spacing w:after="0" w:line="259" w:lineRule="auto"/>
        <w:ind w:left="0" w:right="196" w:firstLine="0"/>
        <w:rPr>
          <w:i/>
          <w:color w:val="0070C0"/>
          <w:sz w:val="22"/>
        </w:rPr>
      </w:pPr>
      <w:proofErr w:type="spellStart"/>
      <w:r w:rsidRPr="009070F6">
        <w:rPr>
          <w:i/>
          <w:color w:val="0070C0"/>
          <w:sz w:val="22"/>
        </w:rPr>
        <w:t>Kariholu</w:t>
      </w:r>
      <w:proofErr w:type="spellEnd"/>
      <w:r w:rsidRPr="009070F6">
        <w:rPr>
          <w:i/>
          <w:color w:val="0070C0"/>
          <w:sz w:val="22"/>
        </w:rPr>
        <w:t xml:space="preserve"> U, </w:t>
      </w:r>
      <w:proofErr w:type="spellStart"/>
      <w:r w:rsidRPr="009070F6">
        <w:rPr>
          <w:i/>
          <w:color w:val="0070C0"/>
          <w:sz w:val="22"/>
        </w:rPr>
        <w:t>Montaldo</w:t>
      </w:r>
      <w:proofErr w:type="spellEnd"/>
      <w:r w:rsidRPr="009070F6">
        <w:rPr>
          <w:i/>
          <w:color w:val="0070C0"/>
          <w:sz w:val="22"/>
        </w:rPr>
        <w:t xml:space="preserve"> P, </w:t>
      </w:r>
      <w:proofErr w:type="spellStart"/>
      <w:r w:rsidRPr="009070F6">
        <w:rPr>
          <w:i/>
          <w:color w:val="0070C0"/>
          <w:sz w:val="22"/>
        </w:rPr>
        <w:t>Markati</w:t>
      </w:r>
      <w:proofErr w:type="spellEnd"/>
      <w:r w:rsidRPr="009070F6">
        <w:rPr>
          <w:i/>
          <w:color w:val="0070C0"/>
          <w:sz w:val="22"/>
        </w:rPr>
        <w:t xml:space="preserve"> T, </w:t>
      </w:r>
      <w:proofErr w:type="spellStart"/>
      <w:r w:rsidRPr="009070F6">
        <w:rPr>
          <w:i/>
          <w:color w:val="0070C0"/>
          <w:sz w:val="22"/>
        </w:rPr>
        <w:t>Lally</w:t>
      </w:r>
      <w:proofErr w:type="spellEnd"/>
      <w:r w:rsidRPr="009070F6">
        <w:rPr>
          <w:i/>
          <w:color w:val="0070C0"/>
          <w:sz w:val="22"/>
        </w:rPr>
        <w:t xml:space="preserve"> PJ, Pryce R, </w:t>
      </w:r>
      <w:proofErr w:type="spellStart"/>
      <w:r w:rsidRPr="009070F6">
        <w:rPr>
          <w:i/>
          <w:color w:val="0070C0"/>
          <w:sz w:val="22"/>
        </w:rPr>
        <w:t>Teiserskas</w:t>
      </w:r>
      <w:proofErr w:type="spellEnd"/>
      <w:r w:rsidRPr="009070F6">
        <w:rPr>
          <w:i/>
          <w:color w:val="0070C0"/>
          <w:sz w:val="22"/>
        </w:rPr>
        <w:t xml:space="preserve"> J, </w:t>
      </w:r>
      <w:proofErr w:type="spellStart"/>
      <w:r w:rsidRPr="009070F6">
        <w:rPr>
          <w:i/>
          <w:color w:val="0070C0"/>
          <w:sz w:val="22"/>
        </w:rPr>
        <w:t>Liow</w:t>
      </w:r>
      <w:proofErr w:type="spellEnd"/>
      <w:r w:rsidRPr="009070F6">
        <w:rPr>
          <w:i/>
          <w:color w:val="0070C0"/>
          <w:sz w:val="22"/>
        </w:rPr>
        <w:t xml:space="preserve"> N,</w:t>
      </w:r>
    </w:p>
    <w:p w14:paraId="6632FE9B" w14:textId="77777777" w:rsidR="00B02BFA" w:rsidRPr="009070F6" w:rsidRDefault="00B02BFA" w:rsidP="00B02BFA">
      <w:pPr>
        <w:spacing w:after="0" w:line="259" w:lineRule="auto"/>
        <w:ind w:right="196"/>
        <w:rPr>
          <w:i/>
          <w:color w:val="0070C0"/>
          <w:sz w:val="22"/>
        </w:rPr>
      </w:pPr>
      <w:r w:rsidRPr="009070F6">
        <w:rPr>
          <w:i/>
          <w:color w:val="0070C0"/>
          <w:sz w:val="22"/>
        </w:rPr>
        <w:t xml:space="preserve">Oliveira V, </w:t>
      </w:r>
      <w:proofErr w:type="spellStart"/>
      <w:r w:rsidRPr="009070F6">
        <w:rPr>
          <w:i/>
          <w:color w:val="0070C0"/>
          <w:sz w:val="22"/>
        </w:rPr>
        <w:t>Soe</w:t>
      </w:r>
      <w:proofErr w:type="spellEnd"/>
      <w:r w:rsidRPr="009070F6">
        <w:rPr>
          <w:i/>
          <w:color w:val="0070C0"/>
          <w:sz w:val="22"/>
        </w:rPr>
        <w:t xml:space="preserve"> A, </w:t>
      </w:r>
      <w:proofErr w:type="spellStart"/>
      <w:r w:rsidRPr="009070F6">
        <w:rPr>
          <w:i/>
          <w:color w:val="0070C0"/>
          <w:sz w:val="22"/>
        </w:rPr>
        <w:t>Shankaran</w:t>
      </w:r>
      <w:proofErr w:type="spellEnd"/>
      <w:r w:rsidRPr="009070F6">
        <w:rPr>
          <w:i/>
          <w:color w:val="0070C0"/>
          <w:sz w:val="22"/>
        </w:rPr>
        <w:t xml:space="preserve"> S, </w:t>
      </w:r>
      <w:proofErr w:type="spellStart"/>
      <w:r w:rsidRPr="009070F6">
        <w:rPr>
          <w:i/>
          <w:color w:val="0070C0"/>
          <w:sz w:val="22"/>
        </w:rPr>
        <w:t>Thayyil</w:t>
      </w:r>
      <w:proofErr w:type="spellEnd"/>
      <w:r w:rsidRPr="009070F6">
        <w:rPr>
          <w:i/>
          <w:color w:val="0070C0"/>
          <w:sz w:val="22"/>
        </w:rPr>
        <w:t xml:space="preserve"> S. Therapeutic hypothermia for mild</w:t>
      </w:r>
    </w:p>
    <w:p w14:paraId="4D5E5ECB" w14:textId="77777777" w:rsidR="00B02BFA" w:rsidRPr="009070F6" w:rsidRDefault="00B02BFA" w:rsidP="00B02BFA">
      <w:pPr>
        <w:spacing w:after="0" w:line="259" w:lineRule="auto"/>
        <w:ind w:right="196"/>
        <w:rPr>
          <w:i/>
          <w:color w:val="0070C0"/>
          <w:sz w:val="22"/>
        </w:rPr>
      </w:pPr>
      <w:r w:rsidRPr="009070F6">
        <w:rPr>
          <w:i/>
          <w:color w:val="0070C0"/>
          <w:sz w:val="22"/>
        </w:rPr>
        <w:t>neonatal encephalopathy: a systematic review and meta-analysis. Arch Dis Child</w:t>
      </w:r>
    </w:p>
    <w:p w14:paraId="38676D76" w14:textId="77777777" w:rsidR="00B02BFA" w:rsidRDefault="00B02BFA" w:rsidP="00B02BFA">
      <w:pPr>
        <w:spacing w:after="0" w:line="259" w:lineRule="auto"/>
        <w:ind w:right="196"/>
        <w:rPr>
          <w:i/>
          <w:color w:val="0070C0"/>
          <w:sz w:val="22"/>
        </w:rPr>
      </w:pPr>
      <w:r w:rsidRPr="009070F6">
        <w:rPr>
          <w:i/>
          <w:color w:val="0070C0"/>
          <w:sz w:val="22"/>
        </w:rPr>
        <w:t xml:space="preserve">Fetal Neonatal Ed. 2018 Dec 19. </w:t>
      </w:r>
      <w:proofErr w:type="spellStart"/>
      <w:r w:rsidRPr="009070F6">
        <w:rPr>
          <w:i/>
          <w:color w:val="0070C0"/>
          <w:sz w:val="22"/>
        </w:rPr>
        <w:t>pii</w:t>
      </w:r>
      <w:proofErr w:type="spellEnd"/>
      <w:r w:rsidRPr="009070F6">
        <w:rPr>
          <w:i/>
          <w:color w:val="0070C0"/>
          <w:sz w:val="22"/>
        </w:rPr>
        <w:t>: fetalneonatal-2018-315711</w:t>
      </w:r>
    </w:p>
    <w:p w14:paraId="72DF07EE" w14:textId="77777777" w:rsidR="00B02BFA" w:rsidRDefault="00B02BFA" w:rsidP="00B02BFA">
      <w:pPr>
        <w:spacing w:after="0" w:line="259" w:lineRule="auto"/>
        <w:ind w:right="196"/>
        <w:rPr>
          <w:i/>
          <w:color w:val="0070C0"/>
          <w:sz w:val="22"/>
        </w:rPr>
      </w:pPr>
    </w:p>
    <w:p w14:paraId="71401AE9" w14:textId="77777777" w:rsidR="00B02BFA" w:rsidRPr="00B02BFA" w:rsidRDefault="00B02BFA" w:rsidP="00B02BFA">
      <w:pPr>
        <w:spacing w:after="0" w:line="259" w:lineRule="auto"/>
        <w:ind w:right="196"/>
        <w:rPr>
          <w:i/>
          <w:color w:val="0070C0"/>
          <w:sz w:val="22"/>
        </w:rPr>
      </w:pPr>
      <w:r w:rsidRPr="00B02BFA">
        <w:rPr>
          <w:i/>
          <w:color w:val="0070C0"/>
          <w:sz w:val="22"/>
        </w:rPr>
        <w:t xml:space="preserve">Tann CJ, </w:t>
      </w:r>
      <w:proofErr w:type="spellStart"/>
      <w:r w:rsidRPr="00B02BFA">
        <w:rPr>
          <w:i/>
          <w:color w:val="0070C0"/>
          <w:sz w:val="22"/>
        </w:rPr>
        <w:t>Martinello</w:t>
      </w:r>
      <w:proofErr w:type="spellEnd"/>
      <w:r w:rsidRPr="00B02BFA">
        <w:rPr>
          <w:i/>
          <w:color w:val="0070C0"/>
          <w:sz w:val="22"/>
        </w:rPr>
        <w:t xml:space="preserve"> KA, </w:t>
      </w:r>
      <w:proofErr w:type="spellStart"/>
      <w:r w:rsidRPr="00B02BFA">
        <w:rPr>
          <w:i/>
          <w:color w:val="0070C0"/>
          <w:sz w:val="22"/>
        </w:rPr>
        <w:t>Sadoo</w:t>
      </w:r>
      <w:proofErr w:type="spellEnd"/>
      <w:r w:rsidRPr="00B02BFA">
        <w:rPr>
          <w:i/>
          <w:color w:val="0070C0"/>
          <w:sz w:val="22"/>
        </w:rPr>
        <w:t xml:space="preserve"> S, Lawn JE, Seale AC, Vega-Poblete M, Russell</w:t>
      </w:r>
    </w:p>
    <w:p w14:paraId="43555AC0" w14:textId="77777777" w:rsidR="00B02BFA" w:rsidRPr="00B02BFA" w:rsidRDefault="00B02BFA" w:rsidP="00B02BFA">
      <w:pPr>
        <w:spacing w:after="0" w:line="259" w:lineRule="auto"/>
        <w:ind w:right="196"/>
        <w:rPr>
          <w:i/>
          <w:color w:val="0070C0"/>
          <w:sz w:val="22"/>
        </w:rPr>
      </w:pPr>
      <w:r w:rsidRPr="00B02BFA">
        <w:rPr>
          <w:i/>
          <w:color w:val="0070C0"/>
          <w:sz w:val="22"/>
        </w:rPr>
        <w:t xml:space="preserve">NJ, Baker CJ, Bartlett L, </w:t>
      </w:r>
      <w:proofErr w:type="spellStart"/>
      <w:r w:rsidRPr="00B02BFA">
        <w:rPr>
          <w:i/>
          <w:color w:val="0070C0"/>
          <w:sz w:val="22"/>
        </w:rPr>
        <w:t>Cutland</w:t>
      </w:r>
      <w:proofErr w:type="spellEnd"/>
      <w:r w:rsidRPr="00B02BFA">
        <w:rPr>
          <w:i/>
          <w:color w:val="0070C0"/>
          <w:sz w:val="22"/>
        </w:rPr>
        <w:t xml:space="preserve"> C, </w:t>
      </w:r>
      <w:proofErr w:type="spellStart"/>
      <w:r w:rsidRPr="00B02BFA">
        <w:rPr>
          <w:i/>
          <w:color w:val="0070C0"/>
          <w:sz w:val="22"/>
        </w:rPr>
        <w:t>Gravett</w:t>
      </w:r>
      <w:proofErr w:type="spellEnd"/>
      <w:r w:rsidRPr="00B02BFA">
        <w:rPr>
          <w:i/>
          <w:color w:val="0070C0"/>
          <w:sz w:val="22"/>
        </w:rPr>
        <w:t xml:space="preserve"> MG, </w:t>
      </w:r>
      <w:proofErr w:type="spellStart"/>
      <w:r w:rsidRPr="00B02BFA">
        <w:rPr>
          <w:i/>
          <w:color w:val="0070C0"/>
          <w:sz w:val="22"/>
        </w:rPr>
        <w:t>Ip</w:t>
      </w:r>
      <w:proofErr w:type="spellEnd"/>
      <w:r w:rsidRPr="00B02BFA">
        <w:rPr>
          <w:i/>
          <w:color w:val="0070C0"/>
          <w:sz w:val="22"/>
        </w:rPr>
        <w:t xml:space="preserve"> M, Le </w:t>
      </w:r>
      <w:proofErr w:type="spellStart"/>
      <w:r w:rsidRPr="00B02BFA">
        <w:rPr>
          <w:i/>
          <w:color w:val="0070C0"/>
          <w:sz w:val="22"/>
        </w:rPr>
        <w:t>Doare</w:t>
      </w:r>
      <w:proofErr w:type="spellEnd"/>
      <w:r w:rsidRPr="00B02BFA">
        <w:rPr>
          <w:i/>
          <w:color w:val="0070C0"/>
          <w:sz w:val="22"/>
        </w:rPr>
        <w:t xml:space="preserve"> K, </w:t>
      </w:r>
      <w:proofErr w:type="spellStart"/>
      <w:r w:rsidRPr="00B02BFA">
        <w:rPr>
          <w:i/>
          <w:color w:val="0070C0"/>
          <w:sz w:val="22"/>
        </w:rPr>
        <w:t>Madhi</w:t>
      </w:r>
      <w:proofErr w:type="spellEnd"/>
      <w:r w:rsidRPr="00B02BFA">
        <w:rPr>
          <w:i/>
          <w:color w:val="0070C0"/>
          <w:sz w:val="22"/>
        </w:rPr>
        <w:t xml:space="preserve"> SA,</w:t>
      </w:r>
    </w:p>
    <w:p w14:paraId="3C874633" w14:textId="77777777" w:rsidR="00B02BFA" w:rsidRPr="00B02BFA" w:rsidRDefault="00B02BFA" w:rsidP="00B02BFA">
      <w:pPr>
        <w:spacing w:after="0" w:line="259" w:lineRule="auto"/>
        <w:ind w:right="196"/>
        <w:rPr>
          <w:i/>
          <w:color w:val="0070C0"/>
          <w:sz w:val="22"/>
        </w:rPr>
      </w:pPr>
      <w:r w:rsidRPr="00B02BFA">
        <w:rPr>
          <w:i/>
          <w:color w:val="0070C0"/>
          <w:sz w:val="22"/>
        </w:rPr>
        <w:t xml:space="preserve">Rubens CE, </w:t>
      </w:r>
      <w:proofErr w:type="spellStart"/>
      <w:r w:rsidRPr="00B02BFA">
        <w:rPr>
          <w:i/>
          <w:color w:val="0070C0"/>
          <w:sz w:val="22"/>
        </w:rPr>
        <w:t>Saha</w:t>
      </w:r>
      <w:proofErr w:type="spellEnd"/>
      <w:r w:rsidRPr="00B02BFA">
        <w:rPr>
          <w:i/>
          <w:color w:val="0070C0"/>
          <w:sz w:val="22"/>
        </w:rPr>
        <w:t xml:space="preserve"> SK, </w:t>
      </w:r>
      <w:proofErr w:type="spellStart"/>
      <w:r w:rsidRPr="00B02BFA">
        <w:rPr>
          <w:i/>
          <w:color w:val="0070C0"/>
          <w:sz w:val="22"/>
        </w:rPr>
        <w:t>Schrag</w:t>
      </w:r>
      <w:proofErr w:type="spellEnd"/>
      <w:r w:rsidRPr="00B02BFA">
        <w:rPr>
          <w:i/>
          <w:color w:val="0070C0"/>
          <w:sz w:val="22"/>
        </w:rPr>
        <w:t xml:space="preserve"> S, </w:t>
      </w:r>
      <w:proofErr w:type="spellStart"/>
      <w:r w:rsidRPr="00B02BFA">
        <w:rPr>
          <w:i/>
          <w:color w:val="0070C0"/>
          <w:sz w:val="22"/>
        </w:rPr>
        <w:t>Sobanjo</w:t>
      </w:r>
      <w:proofErr w:type="spellEnd"/>
      <w:r w:rsidRPr="00B02BFA">
        <w:rPr>
          <w:i/>
          <w:color w:val="0070C0"/>
          <w:sz w:val="22"/>
        </w:rPr>
        <w:t xml:space="preserve">-Ter </w:t>
      </w:r>
      <w:proofErr w:type="spellStart"/>
      <w:r w:rsidRPr="00B02BFA">
        <w:rPr>
          <w:i/>
          <w:color w:val="0070C0"/>
          <w:sz w:val="22"/>
        </w:rPr>
        <w:t>Meulen</w:t>
      </w:r>
      <w:proofErr w:type="spellEnd"/>
      <w:r w:rsidRPr="00B02BFA">
        <w:rPr>
          <w:i/>
          <w:color w:val="0070C0"/>
          <w:sz w:val="22"/>
        </w:rPr>
        <w:t xml:space="preserve"> A, </w:t>
      </w:r>
      <w:proofErr w:type="spellStart"/>
      <w:r w:rsidRPr="00B02BFA">
        <w:rPr>
          <w:i/>
          <w:color w:val="0070C0"/>
          <w:sz w:val="22"/>
        </w:rPr>
        <w:t>Vekemans</w:t>
      </w:r>
      <w:proofErr w:type="spellEnd"/>
      <w:r w:rsidRPr="00B02BFA">
        <w:rPr>
          <w:i/>
          <w:color w:val="0070C0"/>
          <w:sz w:val="22"/>
        </w:rPr>
        <w:t xml:space="preserve"> J, Heath PT; GBS</w:t>
      </w:r>
    </w:p>
    <w:p w14:paraId="2C9CF330" w14:textId="77777777" w:rsidR="00B02BFA" w:rsidRPr="00B02BFA" w:rsidRDefault="00B02BFA" w:rsidP="00B02BFA">
      <w:pPr>
        <w:spacing w:after="0" w:line="259" w:lineRule="auto"/>
        <w:ind w:right="196"/>
        <w:rPr>
          <w:i/>
          <w:color w:val="0070C0"/>
          <w:sz w:val="22"/>
        </w:rPr>
      </w:pPr>
      <w:r w:rsidRPr="00B02BFA">
        <w:rPr>
          <w:i/>
          <w:color w:val="0070C0"/>
          <w:sz w:val="22"/>
        </w:rPr>
        <w:t xml:space="preserve">Neonatal Encephalopathy Investigator Group. Neonatal Encephalopathy </w:t>
      </w:r>
      <w:proofErr w:type="gramStart"/>
      <w:r w:rsidRPr="00B02BFA">
        <w:rPr>
          <w:i/>
          <w:color w:val="0070C0"/>
          <w:sz w:val="22"/>
        </w:rPr>
        <w:t>With</w:t>
      </w:r>
      <w:proofErr w:type="gramEnd"/>
      <w:r w:rsidRPr="00B02BFA">
        <w:rPr>
          <w:i/>
          <w:color w:val="0070C0"/>
          <w:sz w:val="22"/>
        </w:rPr>
        <w:t xml:space="preserve"> Group B </w:t>
      </w:r>
    </w:p>
    <w:p w14:paraId="1C2A380E" w14:textId="77777777" w:rsidR="00B02BFA" w:rsidRPr="00B02BFA" w:rsidRDefault="00B02BFA" w:rsidP="00B02BFA">
      <w:pPr>
        <w:spacing w:after="0" w:line="259" w:lineRule="auto"/>
        <w:ind w:right="196"/>
        <w:rPr>
          <w:i/>
          <w:color w:val="0070C0"/>
          <w:sz w:val="22"/>
        </w:rPr>
      </w:pPr>
      <w:r w:rsidRPr="00B02BFA">
        <w:rPr>
          <w:i/>
          <w:color w:val="0070C0"/>
          <w:sz w:val="22"/>
        </w:rPr>
        <w:t xml:space="preserve">Streptococcal Disease Worldwide: Systematic Review, Investigator Group Datasets, </w:t>
      </w:r>
    </w:p>
    <w:p w14:paraId="1AB52CBB" w14:textId="77777777" w:rsidR="00B02BFA" w:rsidRPr="00B02BFA" w:rsidRDefault="00B02BFA" w:rsidP="00F457CB">
      <w:pPr>
        <w:spacing w:after="0" w:line="259" w:lineRule="auto"/>
        <w:ind w:right="196"/>
        <w:rPr>
          <w:i/>
          <w:color w:val="0070C0"/>
          <w:sz w:val="22"/>
        </w:rPr>
      </w:pPr>
      <w:r w:rsidRPr="00B02BFA">
        <w:rPr>
          <w:i/>
          <w:color w:val="0070C0"/>
          <w:sz w:val="22"/>
        </w:rPr>
        <w:t xml:space="preserve">and Meta-analysis. </w:t>
      </w:r>
      <w:proofErr w:type="spellStart"/>
      <w:r w:rsidRPr="00B02BFA">
        <w:rPr>
          <w:i/>
          <w:color w:val="0070C0"/>
          <w:sz w:val="22"/>
        </w:rPr>
        <w:t>Clin</w:t>
      </w:r>
      <w:proofErr w:type="spellEnd"/>
      <w:r w:rsidRPr="00B02BFA">
        <w:rPr>
          <w:i/>
          <w:color w:val="0070C0"/>
          <w:sz w:val="22"/>
        </w:rPr>
        <w:t xml:space="preserve"> Infect Dis. 2017 Nov 6;65(suppl_2</w:t>
      </w:r>
      <w:proofErr w:type="gramStart"/>
      <w:r w:rsidRPr="00B02BFA">
        <w:rPr>
          <w:i/>
          <w:color w:val="0070C0"/>
          <w:sz w:val="22"/>
        </w:rPr>
        <w:t>):S</w:t>
      </w:r>
      <w:proofErr w:type="gramEnd"/>
      <w:r w:rsidRPr="00B02BFA">
        <w:rPr>
          <w:i/>
          <w:color w:val="0070C0"/>
          <w:sz w:val="22"/>
        </w:rPr>
        <w:t xml:space="preserve">173-S189. </w:t>
      </w:r>
    </w:p>
    <w:p w14:paraId="3381CBE4" w14:textId="77777777" w:rsidR="00B02BFA" w:rsidRPr="00B02BFA" w:rsidRDefault="00B02BFA" w:rsidP="00F457CB">
      <w:pPr>
        <w:spacing w:after="0" w:line="259" w:lineRule="auto"/>
        <w:ind w:left="0" w:right="196" w:firstLine="0"/>
        <w:rPr>
          <w:i/>
          <w:color w:val="0070C0"/>
          <w:sz w:val="22"/>
        </w:rPr>
      </w:pPr>
    </w:p>
    <w:p w14:paraId="1577A806" w14:textId="77777777" w:rsidR="00B02BFA" w:rsidRPr="00B02BFA" w:rsidRDefault="00B02BFA" w:rsidP="00B02BFA">
      <w:pPr>
        <w:spacing w:after="0" w:line="259" w:lineRule="auto"/>
        <w:ind w:right="196"/>
        <w:rPr>
          <w:i/>
          <w:color w:val="0070C0"/>
          <w:sz w:val="22"/>
        </w:rPr>
      </w:pPr>
      <w:r w:rsidRPr="00B02BFA">
        <w:rPr>
          <w:i/>
          <w:color w:val="0070C0"/>
          <w:sz w:val="22"/>
        </w:rPr>
        <w:t xml:space="preserve">Rossouw G, </w:t>
      </w:r>
      <w:proofErr w:type="spellStart"/>
      <w:r w:rsidRPr="00B02BFA">
        <w:rPr>
          <w:i/>
          <w:color w:val="0070C0"/>
          <w:sz w:val="22"/>
        </w:rPr>
        <w:t>Irlam</w:t>
      </w:r>
      <w:proofErr w:type="spellEnd"/>
      <w:r w:rsidRPr="00B02BFA">
        <w:rPr>
          <w:i/>
          <w:color w:val="0070C0"/>
          <w:sz w:val="22"/>
        </w:rPr>
        <w:t xml:space="preserve"> J, Horn AR. Therapeutic hypothermia for hypoxic </w:t>
      </w:r>
      <w:proofErr w:type="spellStart"/>
      <w:r w:rsidRPr="00B02BFA">
        <w:rPr>
          <w:i/>
          <w:color w:val="0070C0"/>
          <w:sz w:val="22"/>
        </w:rPr>
        <w:t>ischaemic</w:t>
      </w:r>
      <w:proofErr w:type="spellEnd"/>
    </w:p>
    <w:p w14:paraId="2A759884" w14:textId="77777777" w:rsidR="00B02BFA" w:rsidRPr="00B02BFA" w:rsidRDefault="00B02BFA" w:rsidP="00B02BFA">
      <w:pPr>
        <w:spacing w:after="0" w:line="259" w:lineRule="auto"/>
        <w:ind w:right="196"/>
        <w:rPr>
          <w:i/>
          <w:color w:val="0070C0"/>
          <w:sz w:val="22"/>
        </w:rPr>
      </w:pPr>
      <w:r w:rsidRPr="00B02BFA">
        <w:rPr>
          <w:i/>
          <w:color w:val="0070C0"/>
          <w:sz w:val="22"/>
        </w:rPr>
        <w:t>encephalopathy using low-technology methods: a systematic review and</w:t>
      </w:r>
    </w:p>
    <w:p w14:paraId="7C68CB7A" w14:textId="77777777" w:rsidR="00F457CB" w:rsidRPr="00B02BFA" w:rsidRDefault="00B02BFA" w:rsidP="00F457CB">
      <w:pPr>
        <w:spacing w:after="0" w:line="259" w:lineRule="auto"/>
        <w:ind w:right="196"/>
        <w:rPr>
          <w:i/>
          <w:color w:val="0070C0"/>
          <w:sz w:val="22"/>
        </w:rPr>
      </w:pPr>
      <w:r w:rsidRPr="00B02BFA">
        <w:rPr>
          <w:i/>
          <w:color w:val="0070C0"/>
          <w:sz w:val="22"/>
        </w:rPr>
        <w:t xml:space="preserve">meta-analysis. Acta </w:t>
      </w:r>
      <w:proofErr w:type="spellStart"/>
      <w:r w:rsidRPr="00B02BFA">
        <w:rPr>
          <w:i/>
          <w:color w:val="0070C0"/>
          <w:sz w:val="22"/>
        </w:rPr>
        <w:t>Paediatr</w:t>
      </w:r>
      <w:proofErr w:type="spellEnd"/>
      <w:r w:rsidRPr="00B02BFA">
        <w:rPr>
          <w:i/>
          <w:color w:val="0070C0"/>
          <w:sz w:val="22"/>
        </w:rPr>
        <w:t>. 2015 Dec;104(12):1217-28.</w:t>
      </w:r>
    </w:p>
    <w:p w14:paraId="5B530B1E" w14:textId="77777777" w:rsidR="00B02BFA" w:rsidRPr="00B02BFA" w:rsidRDefault="00B02BFA" w:rsidP="00B02BFA">
      <w:pPr>
        <w:spacing w:after="0" w:line="259" w:lineRule="auto"/>
        <w:ind w:right="196"/>
        <w:rPr>
          <w:i/>
          <w:color w:val="0070C0"/>
          <w:sz w:val="22"/>
        </w:rPr>
      </w:pPr>
      <w:r w:rsidRPr="00B02BFA">
        <w:rPr>
          <w:i/>
          <w:color w:val="0070C0"/>
          <w:sz w:val="22"/>
        </w:rPr>
        <w:t xml:space="preserve">. </w:t>
      </w:r>
    </w:p>
    <w:p w14:paraId="1BDE6B39" w14:textId="77777777" w:rsidR="00B02BFA" w:rsidRPr="00B02BFA" w:rsidRDefault="00B02BFA" w:rsidP="00F457CB">
      <w:pPr>
        <w:spacing w:after="0" w:line="259" w:lineRule="auto"/>
        <w:ind w:left="0" w:right="196" w:firstLine="0"/>
        <w:rPr>
          <w:i/>
          <w:color w:val="0070C0"/>
          <w:sz w:val="22"/>
        </w:rPr>
      </w:pPr>
      <w:r w:rsidRPr="00B02BFA">
        <w:rPr>
          <w:i/>
          <w:color w:val="0070C0"/>
          <w:sz w:val="22"/>
        </w:rPr>
        <w:t>Jacobs SE, Berg M, Hunt R, Tarnow-Mordi WO, Inder TE, Davis PG. Cooling for</w:t>
      </w:r>
    </w:p>
    <w:p w14:paraId="3EC41DB5" w14:textId="77777777" w:rsidR="00B02BFA" w:rsidRPr="00B02BFA" w:rsidRDefault="00B02BFA" w:rsidP="00B02BFA">
      <w:pPr>
        <w:spacing w:after="0" w:line="259" w:lineRule="auto"/>
        <w:ind w:right="196"/>
        <w:rPr>
          <w:i/>
          <w:color w:val="0070C0"/>
          <w:sz w:val="22"/>
        </w:rPr>
      </w:pPr>
      <w:r w:rsidRPr="00B02BFA">
        <w:rPr>
          <w:i/>
          <w:color w:val="0070C0"/>
          <w:sz w:val="22"/>
        </w:rPr>
        <w:t xml:space="preserve">newborns with hypoxic </w:t>
      </w:r>
      <w:proofErr w:type="spellStart"/>
      <w:r w:rsidRPr="00B02BFA">
        <w:rPr>
          <w:i/>
          <w:color w:val="0070C0"/>
          <w:sz w:val="22"/>
        </w:rPr>
        <w:t>ischaemic</w:t>
      </w:r>
      <w:proofErr w:type="spellEnd"/>
      <w:r w:rsidRPr="00B02BFA">
        <w:rPr>
          <w:i/>
          <w:color w:val="0070C0"/>
          <w:sz w:val="22"/>
        </w:rPr>
        <w:t xml:space="preserve"> encephalopathy. Cochrane Database </w:t>
      </w:r>
      <w:proofErr w:type="spellStart"/>
      <w:r w:rsidRPr="00B02BFA">
        <w:rPr>
          <w:i/>
          <w:color w:val="0070C0"/>
          <w:sz w:val="22"/>
        </w:rPr>
        <w:t>Syst</w:t>
      </w:r>
      <w:proofErr w:type="spellEnd"/>
      <w:r w:rsidRPr="00B02BFA">
        <w:rPr>
          <w:i/>
          <w:color w:val="0070C0"/>
          <w:sz w:val="22"/>
        </w:rPr>
        <w:t xml:space="preserve"> Rev. 2013 </w:t>
      </w:r>
    </w:p>
    <w:p w14:paraId="04B484D8" w14:textId="77777777" w:rsidR="00B02BFA" w:rsidRPr="009070F6" w:rsidRDefault="00B02BFA" w:rsidP="00B02BFA">
      <w:pPr>
        <w:spacing w:after="0" w:line="259" w:lineRule="auto"/>
        <w:ind w:right="196"/>
        <w:rPr>
          <w:i/>
          <w:color w:val="0070C0"/>
          <w:sz w:val="22"/>
        </w:rPr>
      </w:pPr>
      <w:r w:rsidRPr="00B02BFA">
        <w:rPr>
          <w:i/>
          <w:color w:val="0070C0"/>
          <w:sz w:val="22"/>
        </w:rPr>
        <w:t xml:space="preserve">Jan 31;(1):CD003311. </w:t>
      </w:r>
      <w:proofErr w:type="spellStart"/>
      <w:r w:rsidRPr="00B02BFA">
        <w:rPr>
          <w:i/>
          <w:color w:val="0070C0"/>
          <w:sz w:val="22"/>
        </w:rPr>
        <w:t>doi</w:t>
      </w:r>
      <w:proofErr w:type="spellEnd"/>
      <w:r w:rsidRPr="00B02BFA">
        <w:rPr>
          <w:i/>
          <w:color w:val="0070C0"/>
          <w:sz w:val="22"/>
        </w:rPr>
        <w:t>: 10.1002/14651858.CD003311.pub3.</w:t>
      </w:r>
    </w:p>
    <w:p w14:paraId="1C590F03" w14:textId="77777777" w:rsidR="00296E8E" w:rsidRPr="004055CB" w:rsidRDefault="00296E8E" w:rsidP="00CA076B">
      <w:pPr>
        <w:spacing w:after="0" w:line="259" w:lineRule="auto"/>
        <w:ind w:left="1020" w:right="196" w:firstLine="0"/>
        <w:rPr>
          <w:i/>
          <w:sz w:val="22"/>
        </w:rPr>
      </w:pPr>
    </w:p>
    <w:p w14:paraId="1FA1B6F1" w14:textId="77777777" w:rsidR="00CA076B" w:rsidRPr="004055CB" w:rsidRDefault="00CA076B" w:rsidP="00E96E34">
      <w:pPr>
        <w:pStyle w:val="ListParagraph"/>
        <w:numPr>
          <w:ilvl w:val="0"/>
          <w:numId w:val="4"/>
        </w:numPr>
        <w:spacing w:after="0" w:line="259" w:lineRule="auto"/>
        <w:ind w:right="196"/>
        <w:rPr>
          <w:sz w:val="22"/>
        </w:rPr>
      </w:pPr>
      <w:r w:rsidRPr="004055CB">
        <w:rPr>
          <w:i/>
          <w:sz w:val="22"/>
        </w:rPr>
        <w:lastRenderedPageBreak/>
        <w:t xml:space="preserve">What ILCOR and member council guidelines will be cross-referenced? </w:t>
      </w:r>
      <w:r w:rsidRPr="004055CB">
        <w:rPr>
          <w:sz w:val="22"/>
        </w:rPr>
        <w:t> </w:t>
      </w:r>
      <w:r w:rsidR="00B02BFA">
        <w:rPr>
          <w:color w:val="0070C0"/>
          <w:sz w:val="22"/>
        </w:rPr>
        <w:t>All relevant (neonatal)</w:t>
      </w:r>
    </w:p>
    <w:p w14:paraId="19F3EEA8" w14:textId="77777777" w:rsidR="00296E8E" w:rsidRPr="004055CB" w:rsidRDefault="00296E8E" w:rsidP="00CA076B">
      <w:pPr>
        <w:spacing w:after="0" w:line="259" w:lineRule="auto"/>
        <w:ind w:left="1020" w:right="196" w:firstLine="0"/>
        <w:rPr>
          <w:b/>
          <w:sz w:val="22"/>
        </w:rPr>
      </w:pPr>
    </w:p>
    <w:p w14:paraId="3E1751DD" w14:textId="77777777" w:rsidR="00B02BFA" w:rsidRDefault="00CA076B" w:rsidP="00A1555C">
      <w:pPr>
        <w:spacing w:after="0" w:line="259" w:lineRule="auto"/>
        <w:ind w:left="0" w:right="196" w:firstLine="0"/>
        <w:rPr>
          <w:color w:val="0070C0"/>
          <w:sz w:val="22"/>
        </w:rPr>
      </w:pPr>
      <w:r w:rsidRPr="004055CB">
        <w:rPr>
          <w:b/>
          <w:sz w:val="22"/>
        </w:rPr>
        <w:t xml:space="preserve">3. </w:t>
      </w:r>
      <w:r w:rsidR="0089501D" w:rsidRPr="004055CB">
        <w:rPr>
          <w:b/>
          <w:sz w:val="22"/>
        </w:rPr>
        <w:t>Need for t</w:t>
      </w:r>
      <w:r w:rsidRPr="004055CB">
        <w:rPr>
          <w:b/>
          <w:sz w:val="22"/>
        </w:rPr>
        <w:t>he Paper</w:t>
      </w:r>
      <w:r w:rsidR="00E96E34" w:rsidRPr="004055CB">
        <w:rPr>
          <w:b/>
          <w:sz w:val="22"/>
        </w:rPr>
        <w:t xml:space="preserve"> - </w:t>
      </w:r>
      <w:r w:rsidR="00E96E34" w:rsidRPr="004055CB">
        <w:rPr>
          <w:sz w:val="22"/>
        </w:rPr>
        <w:t>Please provide a subject summary (delete yellow text when actioned). How will the paper support ILCOR’s mission, vision and values?</w:t>
      </w:r>
      <w:r w:rsidR="00410C7E">
        <w:rPr>
          <w:sz w:val="22"/>
        </w:rPr>
        <w:t xml:space="preserve"> </w:t>
      </w:r>
    </w:p>
    <w:p w14:paraId="1FAC52EB" w14:textId="77777777" w:rsidR="00E96E34" w:rsidRPr="00410C7E" w:rsidRDefault="00B02BFA" w:rsidP="00A1555C">
      <w:pPr>
        <w:spacing w:after="0" w:line="259" w:lineRule="auto"/>
        <w:ind w:left="0" w:right="196" w:firstLine="0"/>
        <w:rPr>
          <w:color w:val="0070C0"/>
          <w:sz w:val="22"/>
        </w:rPr>
      </w:pPr>
      <w:r>
        <w:rPr>
          <w:color w:val="0070C0"/>
          <w:sz w:val="22"/>
        </w:rPr>
        <w:t xml:space="preserve">The role of induced hypothermia in management after adult cardiac arrest has been the subject of an advisory statement by ILCOR. Induced hypothermia has a well-established role in management after resuscitation of newborns who have moderate or severe hypoxic ischemic encephalopathy after depression at birth requiring resuscitation.  However, there are gaps in knowledge that are the subject of recent and ongoing research. </w:t>
      </w:r>
      <w:r w:rsidR="002971C6">
        <w:rPr>
          <w:color w:val="0070C0"/>
          <w:sz w:val="22"/>
        </w:rPr>
        <w:t>The role of induced hypoth</w:t>
      </w:r>
      <w:r w:rsidR="00F457CB">
        <w:rPr>
          <w:color w:val="0070C0"/>
          <w:sz w:val="22"/>
        </w:rPr>
        <w:t>ermia in settings where</w:t>
      </w:r>
      <w:r w:rsidR="002971C6">
        <w:rPr>
          <w:color w:val="0070C0"/>
          <w:sz w:val="22"/>
        </w:rPr>
        <w:t xml:space="preserve"> other intensive care components can</w:t>
      </w:r>
      <w:r w:rsidR="00F457CB">
        <w:rPr>
          <w:color w:val="0070C0"/>
          <w:sz w:val="22"/>
        </w:rPr>
        <w:t>not be provided is not established (low resource settings).</w:t>
      </w:r>
      <w:r w:rsidR="002971C6">
        <w:rPr>
          <w:color w:val="0070C0"/>
          <w:sz w:val="22"/>
        </w:rPr>
        <w:t xml:space="preserve"> </w:t>
      </w:r>
      <w:r w:rsidR="00F457CB">
        <w:rPr>
          <w:color w:val="0070C0"/>
          <w:sz w:val="22"/>
        </w:rPr>
        <w:t xml:space="preserve">In high resource settings, there has </w:t>
      </w:r>
      <w:r>
        <w:rPr>
          <w:color w:val="0070C0"/>
          <w:sz w:val="22"/>
        </w:rPr>
        <w:t>been significant “pra</w:t>
      </w:r>
      <w:r w:rsidR="00F457CB">
        <w:rPr>
          <w:color w:val="0070C0"/>
          <w:sz w:val="22"/>
        </w:rPr>
        <w:t>ctice creep”, leading to</w:t>
      </w:r>
      <w:r>
        <w:rPr>
          <w:color w:val="0070C0"/>
          <w:sz w:val="22"/>
        </w:rPr>
        <w:t xml:space="preserve"> use of induced hypothermia for infants who did not meet inclusion</w:t>
      </w:r>
      <w:r w:rsidR="00F457CB">
        <w:rPr>
          <w:color w:val="0070C0"/>
          <w:sz w:val="22"/>
        </w:rPr>
        <w:t xml:space="preserve"> criteria for randomized trials. Examples are preterm infants, infants</w:t>
      </w:r>
      <w:r>
        <w:rPr>
          <w:color w:val="0070C0"/>
          <w:sz w:val="22"/>
        </w:rPr>
        <w:t xml:space="preserve"> with a high likelihood of sepsis, those with only mild encephalopathy</w:t>
      </w:r>
      <w:r w:rsidR="002971C6">
        <w:rPr>
          <w:color w:val="0070C0"/>
          <w:sz w:val="22"/>
        </w:rPr>
        <w:t xml:space="preserve">, </w:t>
      </w:r>
      <w:r w:rsidR="00F457CB">
        <w:rPr>
          <w:color w:val="0070C0"/>
          <w:sz w:val="22"/>
        </w:rPr>
        <w:t>(</w:t>
      </w:r>
      <w:r w:rsidR="002971C6">
        <w:rPr>
          <w:color w:val="0070C0"/>
          <w:sz w:val="22"/>
        </w:rPr>
        <w:t>and those in whom the presence of moderate or s</w:t>
      </w:r>
      <w:r w:rsidR="00F457CB">
        <w:rPr>
          <w:color w:val="0070C0"/>
          <w:sz w:val="22"/>
        </w:rPr>
        <w:t>evere encephalopathy has not been diagnosed)</w:t>
      </w:r>
      <w:r>
        <w:rPr>
          <w:color w:val="0070C0"/>
          <w:sz w:val="22"/>
        </w:rPr>
        <w:t xml:space="preserve">.  The balance of benefits and harms in these groups </w:t>
      </w:r>
      <w:r w:rsidR="002971C6">
        <w:rPr>
          <w:color w:val="0070C0"/>
          <w:sz w:val="22"/>
        </w:rPr>
        <w:t>is</w:t>
      </w:r>
      <w:r>
        <w:rPr>
          <w:color w:val="0070C0"/>
          <w:sz w:val="22"/>
        </w:rPr>
        <w:t xml:space="preserve"> </w:t>
      </w:r>
      <w:r w:rsidR="00F457CB">
        <w:rPr>
          <w:color w:val="0070C0"/>
          <w:sz w:val="22"/>
        </w:rPr>
        <w:t>not yet established. Although animal studies suggest that induced hypothermia should be commenced as soon as possible,</w:t>
      </w:r>
      <w:r w:rsidR="002971C6">
        <w:rPr>
          <w:color w:val="0070C0"/>
          <w:sz w:val="22"/>
        </w:rPr>
        <w:t xml:space="preserve"> very early commencement of hypothermia (during resuscitation) is at odds with other evidence and ILCOR guidelines that support maintaining normothermia to achieve the best outcomes of resuscitation. There is a need for a position statement</w:t>
      </w:r>
      <w:r w:rsidR="00F457CB">
        <w:rPr>
          <w:color w:val="0070C0"/>
          <w:sz w:val="22"/>
        </w:rPr>
        <w:t xml:space="preserve"> to clarify when and how to use</w:t>
      </w:r>
      <w:r w:rsidR="002971C6">
        <w:rPr>
          <w:color w:val="0070C0"/>
          <w:sz w:val="22"/>
        </w:rPr>
        <w:t xml:space="preserve"> evidence-base</w:t>
      </w:r>
      <w:r w:rsidR="00F457CB">
        <w:rPr>
          <w:color w:val="0070C0"/>
          <w:sz w:val="22"/>
        </w:rPr>
        <w:t>d induced hypothermia, and to define situations where</w:t>
      </w:r>
      <w:r w:rsidR="002971C6">
        <w:rPr>
          <w:color w:val="0070C0"/>
          <w:sz w:val="22"/>
        </w:rPr>
        <w:t xml:space="preserve"> there is a need for caution or more evidence. </w:t>
      </w:r>
    </w:p>
    <w:p w14:paraId="30F5CDB9" w14:textId="77777777" w:rsidR="00296E8E" w:rsidRPr="004055CB" w:rsidRDefault="00296E8E" w:rsidP="00296E8E">
      <w:pPr>
        <w:spacing w:after="0" w:line="259" w:lineRule="auto"/>
        <w:ind w:right="196"/>
        <w:rPr>
          <w:b/>
          <w:sz w:val="22"/>
        </w:rPr>
      </w:pPr>
    </w:p>
    <w:p w14:paraId="60E20F91" w14:textId="77777777" w:rsidR="00E96E34" w:rsidRPr="00410C7E" w:rsidRDefault="00CA076B" w:rsidP="00A1555C">
      <w:pPr>
        <w:spacing w:after="0" w:line="259" w:lineRule="auto"/>
        <w:ind w:left="0" w:right="196" w:firstLine="0"/>
        <w:rPr>
          <w:color w:val="0070C0"/>
          <w:sz w:val="22"/>
        </w:rPr>
      </w:pPr>
      <w:r w:rsidRPr="004055CB">
        <w:rPr>
          <w:b/>
          <w:sz w:val="22"/>
        </w:rPr>
        <w:t>4. Audience</w:t>
      </w:r>
      <w:r w:rsidR="00E96E34" w:rsidRPr="004055CB">
        <w:rPr>
          <w:b/>
          <w:sz w:val="22"/>
        </w:rPr>
        <w:t xml:space="preserve"> - </w:t>
      </w:r>
      <w:r w:rsidR="00E96E34" w:rsidRPr="004055CB">
        <w:rPr>
          <w:sz w:val="22"/>
        </w:rPr>
        <w:t>Intended audience (e.g.: healthcare professionals, lay, policy makers, outside societies)</w:t>
      </w:r>
      <w:r w:rsidR="00410C7E">
        <w:rPr>
          <w:sz w:val="22"/>
        </w:rPr>
        <w:t xml:space="preserve"> </w:t>
      </w:r>
      <w:r w:rsidR="00410C7E">
        <w:rPr>
          <w:color w:val="0070C0"/>
          <w:sz w:val="22"/>
        </w:rPr>
        <w:t>Healthcare professionals, relevant members of the basic science and clinical research communities, research funding agencies</w:t>
      </w:r>
    </w:p>
    <w:p w14:paraId="5B7C13F4" w14:textId="77777777" w:rsidR="00296E8E" w:rsidRPr="004055CB" w:rsidRDefault="00296E8E" w:rsidP="00296E8E">
      <w:pPr>
        <w:spacing w:after="0" w:line="259" w:lineRule="auto"/>
        <w:ind w:right="196"/>
        <w:rPr>
          <w:sz w:val="22"/>
        </w:rPr>
      </w:pPr>
    </w:p>
    <w:p w14:paraId="42164F28" w14:textId="77777777" w:rsidR="00E96E34" w:rsidRDefault="00CA076B" w:rsidP="00A1555C">
      <w:pPr>
        <w:spacing w:after="0" w:line="259" w:lineRule="auto"/>
        <w:ind w:left="0" w:right="196" w:firstLine="0"/>
        <w:rPr>
          <w:sz w:val="22"/>
        </w:rPr>
      </w:pPr>
      <w:r w:rsidRPr="004055CB">
        <w:rPr>
          <w:b/>
          <w:sz w:val="22"/>
        </w:rPr>
        <w:t>5. Lay Summary</w:t>
      </w:r>
      <w:r w:rsidR="00E96E34" w:rsidRPr="004055CB">
        <w:rPr>
          <w:b/>
          <w:sz w:val="22"/>
        </w:rPr>
        <w:t xml:space="preserve"> </w:t>
      </w:r>
      <w:r w:rsidR="00E96E34" w:rsidRPr="004055CB">
        <w:rPr>
          <w:sz w:val="22"/>
        </w:rPr>
        <w:t>- Write a lay summary of 200 words or less (include clinical relevance)</w:t>
      </w:r>
    </w:p>
    <w:p w14:paraId="6CE7915D" w14:textId="77777777" w:rsidR="00410C7E" w:rsidRPr="00410C7E" w:rsidRDefault="002971C6" w:rsidP="00A1555C">
      <w:pPr>
        <w:spacing w:after="0" w:line="259" w:lineRule="auto"/>
        <w:ind w:left="0" w:right="196" w:firstLine="0"/>
        <w:rPr>
          <w:b/>
          <w:color w:val="0070C0"/>
          <w:sz w:val="22"/>
        </w:rPr>
      </w:pPr>
      <w:r>
        <w:rPr>
          <w:color w:val="0070C0"/>
          <w:sz w:val="22"/>
        </w:rPr>
        <w:t xml:space="preserve">Neonatal hypoxic </w:t>
      </w:r>
      <w:proofErr w:type="spellStart"/>
      <w:r>
        <w:rPr>
          <w:color w:val="0070C0"/>
          <w:sz w:val="22"/>
        </w:rPr>
        <w:t>ischaemic</w:t>
      </w:r>
      <w:proofErr w:type="spellEnd"/>
      <w:r>
        <w:rPr>
          <w:color w:val="0070C0"/>
          <w:sz w:val="22"/>
        </w:rPr>
        <w:t xml:space="preserve"> encephalopathy (abbreviated HIE, caused by low oxygen or blood supply to the brain </w:t>
      </w:r>
      <w:r w:rsidR="00416A5E">
        <w:rPr>
          <w:color w:val="0070C0"/>
          <w:sz w:val="22"/>
        </w:rPr>
        <w:t xml:space="preserve">around the time of </w:t>
      </w:r>
      <w:r>
        <w:rPr>
          <w:color w:val="0070C0"/>
          <w:sz w:val="22"/>
        </w:rPr>
        <w:t>birth) affects about 1-3 per 1000 infants in countries with high healthcare resources, and a higher proportion of babies in countries with lower healthcare resources.  In higher resourced settings, induced hypothermia (cooling the baby’s whole body or head to a few degrees below normal, in a controlled manner</w:t>
      </w:r>
      <w:r w:rsidR="00E843E5">
        <w:rPr>
          <w:color w:val="0070C0"/>
          <w:sz w:val="22"/>
        </w:rPr>
        <w:t>) has</w:t>
      </w:r>
      <w:r>
        <w:rPr>
          <w:color w:val="0070C0"/>
          <w:sz w:val="22"/>
        </w:rPr>
        <w:t xml:space="preserve"> been shown to be effective in reducing the rates of death or disability ensuing from HIE and is now standard of care when moderate or severe encephalopathy is present. As with all treatments, there is uncertainty about the risks and benefits in babies who for one reason or another don’t meet the strict criteria that were used for entry into the clinical trials that form the evidence basis for </w:t>
      </w:r>
      <w:r w:rsidR="00E843E5">
        <w:rPr>
          <w:color w:val="0070C0"/>
          <w:sz w:val="22"/>
        </w:rPr>
        <w:t xml:space="preserve">cooling. Some may benefit, but some could be harmed. There is also a potential dilemma in that cooling should be started early to achieve maximal benefit, but this can be at odds with ILCOR recommendations to keep babies’ temperature normal during resuscitation to have the best likelihood of success.  There is a need for clear guidance about the best evidence when and how cooling should be provided, and what areas should be the subject of research studies. </w:t>
      </w:r>
    </w:p>
    <w:p w14:paraId="0AC082D7" w14:textId="77777777" w:rsidR="00E96E34" w:rsidRPr="004055CB" w:rsidRDefault="00E843E5" w:rsidP="00A1555C">
      <w:pPr>
        <w:spacing w:after="0" w:line="259" w:lineRule="auto"/>
        <w:ind w:left="0" w:right="196" w:firstLine="0"/>
        <w:rPr>
          <w:b/>
          <w:sz w:val="22"/>
        </w:rPr>
      </w:pPr>
      <w:r>
        <w:rPr>
          <w:color w:val="0070C0"/>
          <w:sz w:val="22"/>
        </w:rPr>
        <w:t xml:space="preserve">Induced hypothermia has been recommended by ILCOR for moderate or severe HIE in neonates since 2010.  Meanwhile, the maintenance of normothermia during resuscitation has achieved greater prominence, leading to uncertainty in what to do for individual infants </w:t>
      </w:r>
    </w:p>
    <w:p w14:paraId="166834DF" w14:textId="77777777" w:rsidR="00CA076B" w:rsidRPr="00385D29" w:rsidRDefault="00CA076B" w:rsidP="00A1555C">
      <w:pPr>
        <w:spacing w:after="0" w:line="259" w:lineRule="auto"/>
        <w:ind w:left="0" w:right="196" w:firstLine="0"/>
        <w:rPr>
          <w:color w:val="0070C0"/>
          <w:sz w:val="22"/>
        </w:rPr>
      </w:pPr>
      <w:r w:rsidRPr="004055CB">
        <w:rPr>
          <w:b/>
          <w:sz w:val="22"/>
        </w:rPr>
        <w:t>6. Implications</w:t>
      </w:r>
      <w:r w:rsidR="00E96E34" w:rsidRPr="004055CB">
        <w:rPr>
          <w:b/>
          <w:sz w:val="22"/>
        </w:rPr>
        <w:t xml:space="preserve"> </w:t>
      </w:r>
      <w:r w:rsidR="00E96E34" w:rsidRPr="004055CB">
        <w:rPr>
          <w:sz w:val="22"/>
        </w:rPr>
        <w:t>– Will there be implications in this guideline/statement for public health and/or are there recommendations that will change the practice of clinicians?  If so, please summarize.</w:t>
      </w:r>
      <w:r w:rsidR="00385D29">
        <w:rPr>
          <w:sz w:val="22"/>
        </w:rPr>
        <w:t xml:space="preserve"> </w:t>
      </w:r>
    </w:p>
    <w:p w14:paraId="36C0FC6B" w14:textId="77777777" w:rsidR="00CA076B" w:rsidRPr="00E843E5" w:rsidRDefault="00E843E5" w:rsidP="00E843E5">
      <w:pPr>
        <w:spacing w:after="0" w:line="259" w:lineRule="auto"/>
        <w:ind w:left="0" w:right="196" w:firstLine="0"/>
        <w:rPr>
          <w:color w:val="0070C0"/>
          <w:sz w:val="22"/>
        </w:rPr>
      </w:pPr>
      <w:r w:rsidRPr="00E843E5">
        <w:rPr>
          <w:color w:val="0070C0"/>
          <w:sz w:val="22"/>
        </w:rPr>
        <w:t xml:space="preserve">Implications for clinical practice </w:t>
      </w:r>
    </w:p>
    <w:p w14:paraId="24A0718F" w14:textId="77777777" w:rsidR="00CA076B" w:rsidRPr="004055CB" w:rsidRDefault="00CA076B" w:rsidP="00A1555C">
      <w:pPr>
        <w:spacing w:after="0" w:line="259" w:lineRule="auto"/>
        <w:ind w:left="0" w:right="196" w:firstLine="0"/>
        <w:rPr>
          <w:sz w:val="22"/>
        </w:rPr>
      </w:pPr>
      <w:r w:rsidRPr="004055CB">
        <w:rPr>
          <w:b/>
          <w:sz w:val="22"/>
        </w:rPr>
        <w:lastRenderedPageBreak/>
        <w:t xml:space="preserve">7. Proposed Writing Group </w:t>
      </w:r>
      <w:r w:rsidR="00E96E34" w:rsidRPr="004055CB">
        <w:rPr>
          <w:sz w:val="22"/>
        </w:rPr>
        <w:t>– 8-10 members in total. Provide full name, institution, and email address for each proposed member.  Please consider ILCOR’s values of collaboration and diversity when making nominations.</w:t>
      </w:r>
      <w:r w:rsidR="00111FA0">
        <w:rPr>
          <w:sz w:val="22"/>
        </w:rPr>
        <w:t xml:space="preserve"> </w:t>
      </w:r>
      <w:r w:rsidR="00111FA0">
        <w:rPr>
          <w:color w:val="0070C0"/>
          <w:sz w:val="22"/>
        </w:rPr>
        <w:t xml:space="preserve">Members of the ILCOR Neonatal Task Force (undergoing transition) and other members of the ILCOR Neonatal Working Group – details to be confirmed at upcoming Task Force meeting in Cape Town, RSA November 2019 and Neonatal Working Group Meeting in Washington DC in December 2019  </w:t>
      </w:r>
    </w:p>
    <w:p w14:paraId="3A3148E0" w14:textId="77777777" w:rsidR="00E96E34" w:rsidRPr="004055CB" w:rsidRDefault="00E96E34" w:rsidP="00A1555C">
      <w:pPr>
        <w:spacing w:after="0" w:line="259" w:lineRule="auto"/>
        <w:ind w:left="0" w:right="196" w:firstLine="0"/>
        <w:rPr>
          <w:sz w:val="22"/>
        </w:rPr>
      </w:pPr>
    </w:p>
    <w:p w14:paraId="0FC58F9F" w14:textId="77777777" w:rsidR="00E96E34" w:rsidRDefault="00E96E34" w:rsidP="00A1555C">
      <w:pPr>
        <w:spacing w:after="0" w:line="259" w:lineRule="auto"/>
        <w:ind w:left="0" w:right="196" w:firstLine="0"/>
        <w:rPr>
          <w:sz w:val="22"/>
        </w:rPr>
      </w:pPr>
      <w:r w:rsidRPr="004055CB">
        <w:rPr>
          <w:b/>
          <w:bCs/>
          <w:sz w:val="22"/>
        </w:rPr>
        <w:t>Writing Group Chair</w:t>
      </w:r>
      <w:r w:rsidRPr="004055CB">
        <w:rPr>
          <w:sz w:val="22"/>
        </w:rPr>
        <w:t xml:space="preserve"> (confirm that writing group chair has no relevant COI. 51% of proposed writing group members must be free of COI.)</w:t>
      </w:r>
    </w:p>
    <w:p w14:paraId="29237CDD" w14:textId="77777777" w:rsidR="00111FA0" w:rsidRPr="00111FA0" w:rsidRDefault="00111FA0" w:rsidP="00A1555C">
      <w:pPr>
        <w:spacing w:after="0" w:line="259" w:lineRule="auto"/>
        <w:ind w:left="0" w:right="196" w:firstLine="0"/>
        <w:rPr>
          <w:color w:val="0070C0"/>
          <w:sz w:val="22"/>
        </w:rPr>
      </w:pPr>
      <w:r>
        <w:rPr>
          <w:color w:val="0070C0"/>
          <w:sz w:val="22"/>
        </w:rPr>
        <w:t>Helen Liley – No COI</w:t>
      </w:r>
    </w:p>
    <w:p w14:paraId="5179E34E" w14:textId="77777777" w:rsidR="00E96E34" w:rsidRPr="004055CB" w:rsidRDefault="00E96E34" w:rsidP="00A1555C">
      <w:pPr>
        <w:spacing w:after="0" w:line="259" w:lineRule="auto"/>
        <w:ind w:left="0" w:right="196" w:firstLine="0"/>
        <w:rPr>
          <w:sz w:val="22"/>
        </w:rPr>
      </w:pPr>
    </w:p>
    <w:p w14:paraId="4C1209F1" w14:textId="77777777" w:rsidR="00E96E34" w:rsidRPr="004055CB" w:rsidRDefault="00E96E34" w:rsidP="00A1555C">
      <w:pPr>
        <w:spacing w:after="0" w:line="259" w:lineRule="auto"/>
        <w:ind w:left="0" w:right="196" w:firstLine="0"/>
        <w:rPr>
          <w:b/>
          <w:sz w:val="22"/>
        </w:rPr>
      </w:pPr>
      <w:r w:rsidRPr="004055CB">
        <w:rPr>
          <w:b/>
          <w:sz w:val="22"/>
        </w:rPr>
        <w:t>Writing Group Vice Chair</w:t>
      </w:r>
    </w:p>
    <w:p w14:paraId="6B143DE3" w14:textId="77777777" w:rsidR="00E96E34" w:rsidRPr="00111FA0" w:rsidRDefault="00111FA0" w:rsidP="00A1555C">
      <w:pPr>
        <w:spacing w:after="0" w:line="259" w:lineRule="auto"/>
        <w:ind w:left="0" w:right="196" w:firstLine="0"/>
        <w:rPr>
          <w:color w:val="0070C0"/>
          <w:sz w:val="22"/>
        </w:rPr>
      </w:pPr>
      <w:r w:rsidRPr="00111FA0">
        <w:rPr>
          <w:color w:val="0070C0"/>
          <w:sz w:val="22"/>
        </w:rPr>
        <w:t>TBA</w:t>
      </w:r>
    </w:p>
    <w:p w14:paraId="0297176B" w14:textId="77777777" w:rsidR="00E96E34" w:rsidRPr="004055CB" w:rsidRDefault="00E96E34" w:rsidP="00A1555C">
      <w:pPr>
        <w:spacing w:after="0" w:line="259" w:lineRule="auto"/>
        <w:ind w:left="0" w:right="196" w:firstLine="0"/>
        <w:rPr>
          <w:b/>
          <w:sz w:val="22"/>
        </w:rPr>
      </w:pPr>
      <w:r w:rsidRPr="004055CB">
        <w:rPr>
          <w:b/>
          <w:sz w:val="22"/>
        </w:rPr>
        <w:t>Writing Group Members</w:t>
      </w:r>
    </w:p>
    <w:p w14:paraId="796A1159" w14:textId="77777777" w:rsidR="00CA6E6D" w:rsidRPr="00111FA0" w:rsidRDefault="00111FA0" w:rsidP="00CA6E6D">
      <w:pPr>
        <w:spacing w:after="0" w:line="259" w:lineRule="auto"/>
        <w:ind w:right="196"/>
        <w:rPr>
          <w:color w:val="0070C0"/>
          <w:sz w:val="22"/>
        </w:rPr>
      </w:pPr>
      <w:r w:rsidRPr="00111FA0">
        <w:rPr>
          <w:color w:val="0070C0"/>
          <w:sz w:val="22"/>
        </w:rPr>
        <w:t>TBA</w:t>
      </w:r>
    </w:p>
    <w:p w14:paraId="75288D59" w14:textId="77777777" w:rsidR="00CA6E6D" w:rsidRPr="004055CB" w:rsidRDefault="009B22F8" w:rsidP="00CA6E6D">
      <w:pPr>
        <w:spacing w:after="0" w:line="259" w:lineRule="auto"/>
        <w:ind w:right="196"/>
        <w:rPr>
          <w:sz w:val="22"/>
        </w:rPr>
      </w:pPr>
      <w:r w:rsidRPr="004055CB">
        <w:rPr>
          <w:b/>
          <w:sz w:val="22"/>
        </w:rPr>
        <w:t>*</w:t>
      </w:r>
      <w:r w:rsidR="00CA6E6D" w:rsidRPr="004055CB">
        <w:rPr>
          <w:b/>
          <w:sz w:val="22"/>
        </w:rPr>
        <w:t>Early Career Member</w:t>
      </w:r>
      <w:r w:rsidRPr="004055CB">
        <w:rPr>
          <w:sz w:val="22"/>
        </w:rPr>
        <w:tab/>
      </w:r>
    </w:p>
    <w:p w14:paraId="2FC39694" w14:textId="77777777" w:rsidR="004055CB" w:rsidRPr="00111FA0" w:rsidRDefault="00111FA0" w:rsidP="00CA6E6D">
      <w:pPr>
        <w:spacing w:after="0" w:line="259" w:lineRule="auto"/>
        <w:ind w:right="196"/>
        <w:rPr>
          <w:color w:val="0070C0"/>
          <w:sz w:val="22"/>
        </w:rPr>
      </w:pPr>
      <w:r>
        <w:rPr>
          <w:color w:val="0070C0"/>
          <w:sz w:val="22"/>
        </w:rPr>
        <w:t>TBA</w:t>
      </w:r>
    </w:p>
    <w:p w14:paraId="7D74805B" w14:textId="77777777" w:rsidR="004055CB" w:rsidRPr="004055CB" w:rsidRDefault="004055CB" w:rsidP="00CA6E6D">
      <w:pPr>
        <w:spacing w:after="0" w:line="259" w:lineRule="auto"/>
        <w:ind w:right="196"/>
        <w:rPr>
          <w:b/>
          <w:bCs/>
          <w:sz w:val="22"/>
        </w:rPr>
      </w:pPr>
      <w:r w:rsidRPr="004055CB">
        <w:rPr>
          <w:b/>
          <w:bCs/>
          <w:sz w:val="22"/>
        </w:rPr>
        <w:t>Minority Member</w:t>
      </w:r>
    </w:p>
    <w:p w14:paraId="796D2608" w14:textId="77777777" w:rsidR="00CA6E6D" w:rsidRPr="00111FA0" w:rsidRDefault="00111FA0" w:rsidP="00A1555C">
      <w:pPr>
        <w:spacing w:after="0" w:line="259" w:lineRule="auto"/>
        <w:ind w:right="196"/>
        <w:rPr>
          <w:color w:val="0070C0"/>
          <w:sz w:val="22"/>
        </w:rPr>
      </w:pPr>
      <w:r w:rsidRPr="00111FA0">
        <w:rPr>
          <w:color w:val="0070C0"/>
          <w:sz w:val="22"/>
        </w:rPr>
        <w:t>TBA</w:t>
      </w:r>
    </w:p>
    <w:p w14:paraId="6B58EE39" w14:textId="77777777" w:rsidR="00CA076B" w:rsidRPr="004055CB" w:rsidRDefault="00CA076B" w:rsidP="00A1555C">
      <w:pPr>
        <w:spacing w:after="0" w:line="259" w:lineRule="auto"/>
        <w:ind w:right="196"/>
        <w:rPr>
          <w:sz w:val="22"/>
        </w:rPr>
      </w:pPr>
      <w:r w:rsidRPr="004055CB">
        <w:rPr>
          <w:sz w:val="22"/>
        </w:rPr>
        <w:t>**</w:t>
      </w:r>
      <w:r w:rsidR="00CA6E6D" w:rsidRPr="004055CB">
        <w:rPr>
          <w:sz w:val="22"/>
        </w:rPr>
        <w:t>A</w:t>
      </w:r>
      <w:r w:rsidRPr="004055CB">
        <w:rPr>
          <w:sz w:val="22"/>
        </w:rPr>
        <w:t>ll ILCOR member councils will be invited to nominate a writing group member if proposal is accepted**</w:t>
      </w:r>
    </w:p>
    <w:p w14:paraId="4DB80182" w14:textId="77777777" w:rsidR="00CA076B" w:rsidRPr="004055CB" w:rsidRDefault="00CA076B" w:rsidP="00CA076B">
      <w:pPr>
        <w:spacing w:after="0" w:line="259" w:lineRule="auto"/>
        <w:ind w:left="1020" w:right="196" w:firstLine="0"/>
        <w:rPr>
          <w:b/>
          <w:sz w:val="22"/>
        </w:rPr>
      </w:pPr>
    </w:p>
    <w:p w14:paraId="271EBB5C" w14:textId="77777777" w:rsidR="004C73B8" w:rsidRPr="004055CB" w:rsidRDefault="00783500" w:rsidP="00A1555C">
      <w:pPr>
        <w:spacing w:after="0" w:line="259" w:lineRule="auto"/>
        <w:ind w:left="0" w:right="196" w:firstLine="0"/>
        <w:rPr>
          <w:sz w:val="22"/>
        </w:rPr>
      </w:pPr>
      <w:r w:rsidRPr="004055CB">
        <w:rPr>
          <w:b/>
          <w:sz w:val="22"/>
        </w:rPr>
        <w:t>8. Timetable f</w:t>
      </w:r>
      <w:r w:rsidR="00CA076B" w:rsidRPr="004055CB">
        <w:rPr>
          <w:b/>
          <w:sz w:val="22"/>
        </w:rPr>
        <w:t>or Completion of Paper</w:t>
      </w:r>
      <w:r w:rsidR="0089501D" w:rsidRPr="004055CB">
        <w:rPr>
          <w:b/>
          <w:sz w:val="22"/>
        </w:rPr>
        <w:t xml:space="preserve"> </w:t>
      </w:r>
      <w:r w:rsidR="004055CB" w:rsidRPr="004055CB">
        <w:rPr>
          <w:sz w:val="22"/>
        </w:rPr>
        <w:t>– 6-9 months to time of peer review</w:t>
      </w:r>
    </w:p>
    <w:p w14:paraId="610677CF" w14:textId="77777777" w:rsidR="00031A88" w:rsidRPr="004055CB" w:rsidRDefault="00031A88" w:rsidP="00031A88">
      <w:pPr>
        <w:spacing w:after="0" w:line="259" w:lineRule="auto"/>
        <w:ind w:right="196"/>
        <w:rPr>
          <w:b/>
          <w:sz w:val="22"/>
        </w:rPr>
      </w:pPr>
    </w:p>
    <w:p w14:paraId="502F33AA" w14:textId="77777777" w:rsidR="00C96565" w:rsidRDefault="00031A88" w:rsidP="00031A88">
      <w:pPr>
        <w:spacing w:after="0" w:line="259" w:lineRule="auto"/>
        <w:ind w:left="0" w:right="196" w:firstLine="0"/>
        <w:rPr>
          <w:b/>
          <w:bCs/>
          <w:sz w:val="22"/>
        </w:rPr>
      </w:pPr>
      <w:r w:rsidRPr="004055CB">
        <w:rPr>
          <w:b/>
          <w:bCs/>
          <w:sz w:val="22"/>
        </w:rPr>
        <w:t xml:space="preserve">Months 0-1: </w:t>
      </w:r>
    </w:p>
    <w:p w14:paraId="3DDDD713" w14:textId="77777777" w:rsidR="00111FA0" w:rsidRPr="00C96565" w:rsidRDefault="00E843E5" w:rsidP="00E843E5">
      <w:pPr>
        <w:spacing w:after="0" w:line="259" w:lineRule="auto"/>
        <w:ind w:left="720" w:right="196" w:firstLine="0"/>
        <w:rPr>
          <w:bCs/>
          <w:color w:val="0070C0"/>
          <w:sz w:val="22"/>
        </w:rPr>
      </w:pPr>
      <w:r>
        <w:rPr>
          <w:bCs/>
          <w:color w:val="0070C0"/>
          <w:sz w:val="22"/>
        </w:rPr>
        <w:t>Identification of topic areas of importance for advisory statement</w:t>
      </w:r>
    </w:p>
    <w:p w14:paraId="0290D756" w14:textId="77777777" w:rsidR="00C96565" w:rsidRDefault="00031A88" w:rsidP="00031A88">
      <w:pPr>
        <w:spacing w:after="0" w:line="259" w:lineRule="auto"/>
        <w:ind w:left="0" w:right="196" w:firstLine="0"/>
        <w:rPr>
          <w:b/>
          <w:bCs/>
          <w:sz w:val="22"/>
        </w:rPr>
      </w:pPr>
      <w:r w:rsidRPr="004055CB">
        <w:rPr>
          <w:b/>
          <w:bCs/>
          <w:sz w:val="22"/>
        </w:rPr>
        <w:t xml:space="preserve">Months 1-3: </w:t>
      </w:r>
    </w:p>
    <w:p w14:paraId="09A1B325" w14:textId="77777777" w:rsidR="00031A88" w:rsidRPr="00C96565" w:rsidRDefault="00E843E5" w:rsidP="00C96565">
      <w:pPr>
        <w:pStyle w:val="ListParagraph"/>
        <w:numPr>
          <w:ilvl w:val="0"/>
          <w:numId w:val="6"/>
        </w:numPr>
        <w:spacing w:after="0" w:line="259" w:lineRule="auto"/>
        <w:ind w:right="196"/>
        <w:rPr>
          <w:bCs/>
          <w:sz w:val="22"/>
        </w:rPr>
      </w:pPr>
      <w:r>
        <w:rPr>
          <w:bCs/>
          <w:color w:val="0070C0"/>
          <w:sz w:val="22"/>
        </w:rPr>
        <w:t>Development of protocol, search strategy for relevant evidence</w:t>
      </w:r>
    </w:p>
    <w:p w14:paraId="1B624F10" w14:textId="77777777" w:rsidR="00031A88" w:rsidRDefault="00031A88" w:rsidP="00031A88">
      <w:pPr>
        <w:spacing w:after="0" w:line="259" w:lineRule="auto"/>
        <w:ind w:left="0" w:right="196" w:firstLine="0"/>
        <w:rPr>
          <w:b/>
          <w:bCs/>
          <w:sz w:val="22"/>
        </w:rPr>
      </w:pPr>
      <w:r w:rsidRPr="004055CB">
        <w:rPr>
          <w:b/>
          <w:bCs/>
          <w:sz w:val="22"/>
        </w:rPr>
        <w:t xml:space="preserve">Months 3-6: </w:t>
      </w:r>
    </w:p>
    <w:p w14:paraId="257FE143" w14:textId="77777777" w:rsidR="00C96565" w:rsidRPr="00C96565" w:rsidRDefault="00E843E5" w:rsidP="00C96565">
      <w:pPr>
        <w:pStyle w:val="ListParagraph"/>
        <w:numPr>
          <w:ilvl w:val="0"/>
          <w:numId w:val="7"/>
        </w:numPr>
        <w:spacing w:after="0" w:line="259" w:lineRule="auto"/>
        <w:ind w:right="196"/>
        <w:rPr>
          <w:bCs/>
          <w:color w:val="0070C0"/>
          <w:sz w:val="22"/>
        </w:rPr>
      </w:pPr>
      <w:r>
        <w:rPr>
          <w:bCs/>
          <w:color w:val="0070C0"/>
          <w:sz w:val="22"/>
        </w:rPr>
        <w:t>Completion of evidence appraisal</w:t>
      </w:r>
    </w:p>
    <w:p w14:paraId="35F1845F" w14:textId="77777777" w:rsidR="00031A88" w:rsidRDefault="00031A88" w:rsidP="00031A88">
      <w:pPr>
        <w:spacing w:after="0" w:line="259" w:lineRule="auto"/>
        <w:ind w:left="0" w:right="196" w:firstLine="0"/>
        <w:rPr>
          <w:b/>
          <w:bCs/>
          <w:sz w:val="22"/>
        </w:rPr>
      </w:pPr>
      <w:r w:rsidRPr="004055CB">
        <w:rPr>
          <w:b/>
          <w:bCs/>
          <w:sz w:val="22"/>
        </w:rPr>
        <w:t xml:space="preserve">Months 6-9: </w:t>
      </w:r>
    </w:p>
    <w:p w14:paraId="0D6FF51D" w14:textId="77777777" w:rsidR="00C96565" w:rsidRPr="00C96565" w:rsidRDefault="00C96565" w:rsidP="00C96565">
      <w:pPr>
        <w:pStyle w:val="ListParagraph"/>
        <w:numPr>
          <w:ilvl w:val="0"/>
          <w:numId w:val="7"/>
        </w:numPr>
        <w:spacing w:after="0" w:line="259" w:lineRule="auto"/>
        <w:ind w:right="196"/>
        <w:rPr>
          <w:bCs/>
          <w:sz w:val="22"/>
        </w:rPr>
      </w:pPr>
      <w:r w:rsidRPr="00C96565">
        <w:rPr>
          <w:bCs/>
          <w:color w:val="0070C0"/>
          <w:sz w:val="22"/>
        </w:rPr>
        <w:t>Manuscript preparation and submission</w:t>
      </w:r>
    </w:p>
    <w:sectPr w:rsidR="00C96565" w:rsidRPr="00C96565">
      <w:pgSz w:w="12240" w:h="15840"/>
      <w:pgMar w:top="752" w:right="1465" w:bottom="2191" w:left="6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445CA"/>
    <w:multiLevelType w:val="hybridMultilevel"/>
    <w:tmpl w:val="3B3A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963578"/>
    <w:multiLevelType w:val="hybridMultilevel"/>
    <w:tmpl w:val="9C9E0AA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3CE90407"/>
    <w:multiLevelType w:val="hybridMultilevel"/>
    <w:tmpl w:val="4CD0319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477B7DA2"/>
    <w:multiLevelType w:val="hybridMultilevel"/>
    <w:tmpl w:val="F5BCD3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A8C7DF3"/>
    <w:multiLevelType w:val="multilevel"/>
    <w:tmpl w:val="3C2CC3E4"/>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C144838"/>
    <w:multiLevelType w:val="hybridMultilevel"/>
    <w:tmpl w:val="096A6410"/>
    <w:lvl w:ilvl="0" w:tplc="0BEA7AEA">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6" w15:restartNumberingAfterBreak="0">
    <w:nsid w:val="6A4E0B6E"/>
    <w:multiLevelType w:val="hybridMultilevel"/>
    <w:tmpl w:val="6264252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72160020"/>
    <w:multiLevelType w:val="hybridMultilevel"/>
    <w:tmpl w:val="0CA0A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2"/>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B22"/>
    <w:rsid w:val="00015D18"/>
    <w:rsid w:val="0002406B"/>
    <w:rsid w:val="00031A88"/>
    <w:rsid w:val="00065D95"/>
    <w:rsid w:val="000719FC"/>
    <w:rsid w:val="000B1B43"/>
    <w:rsid w:val="000C3B22"/>
    <w:rsid w:val="00111FA0"/>
    <w:rsid w:val="001643FE"/>
    <w:rsid w:val="00185CDE"/>
    <w:rsid w:val="001D1216"/>
    <w:rsid w:val="00296E8E"/>
    <w:rsid w:val="002971C6"/>
    <w:rsid w:val="002D5AD7"/>
    <w:rsid w:val="002F1E4C"/>
    <w:rsid w:val="00325E85"/>
    <w:rsid w:val="00385D29"/>
    <w:rsid w:val="004055CB"/>
    <w:rsid w:val="00410C7E"/>
    <w:rsid w:val="00416A5E"/>
    <w:rsid w:val="00444D56"/>
    <w:rsid w:val="004577CD"/>
    <w:rsid w:val="004C73B8"/>
    <w:rsid w:val="00510DD7"/>
    <w:rsid w:val="005140F7"/>
    <w:rsid w:val="005630A8"/>
    <w:rsid w:val="005642A9"/>
    <w:rsid w:val="00575BE3"/>
    <w:rsid w:val="00586BBF"/>
    <w:rsid w:val="005A1D8E"/>
    <w:rsid w:val="00613DAA"/>
    <w:rsid w:val="0062132F"/>
    <w:rsid w:val="006804C7"/>
    <w:rsid w:val="0068361B"/>
    <w:rsid w:val="00693412"/>
    <w:rsid w:val="007354FA"/>
    <w:rsid w:val="00736B0E"/>
    <w:rsid w:val="00783500"/>
    <w:rsid w:val="007B580E"/>
    <w:rsid w:val="0080667C"/>
    <w:rsid w:val="00881199"/>
    <w:rsid w:val="0089501D"/>
    <w:rsid w:val="008A6ED4"/>
    <w:rsid w:val="009070F6"/>
    <w:rsid w:val="00922C75"/>
    <w:rsid w:val="00923944"/>
    <w:rsid w:val="009B22F8"/>
    <w:rsid w:val="009B3A73"/>
    <w:rsid w:val="009E3D67"/>
    <w:rsid w:val="00A13750"/>
    <w:rsid w:val="00A1555C"/>
    <w:rsid w:val="00AA37B1"/>
    <w:rsid w:val="00B02BFA"/>
    <w:rsid w:val="00B42D0F"/>
    <w:rsid w:val="00B849CE"/>
    <w:rsid w:val="00B978F1"/>
    <w:rsid w:val="00BD3833"/>
    <w:rsid w:val="00C93F67"/>
    <w:rsid w:val="00C96419"/>
    <w:rsid w:val="00C96565"/>
    <w:rsid w:val="00CA076B"/>
    <w:rsid w:val="00CA6E6D"/>
    <w:rsid w:val="00CC75AD"/>
    <w:rsid w:val="00CD3E1F"/>
    <w:rsid w:val="00CE0FD2"/>
    <w:rsid w:val="00CF5EFE"/>
    <w:rsid w:val="00D10A25"/>
    <w:rsid w:val="00D431C5"/>
    <w:rsid w:val="00D86DB3"/>
    <w:rsid w:val="00D96296"/>
    <w:rsid w:val="00DE43B2"/>
    <w:rsid w:val="00E1508C"/>
    <w:rsid w:val="00E74BF0"/>
    <w:rsid w:val="00E843E5"/>
    <w:rsid w:val="00E96E34"/>
    <w:rsid w:val="00EB3C45"/>
    <w:rsid w:val="00F00F55"/>
    <w:rsid w:val="00F26EF7"/>
    <w:rsid w:val="00F457CB"/>
    <w:rsid w:val="00F634E2"/>
    <w:rsid w:val="00FD17CF"/>
    <w:rsid w:val="00FE6A44"/>
    <w:rsid w:val="00FF1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724F1C"/>
  <w15:docId w15:val="{C99F80BC-FA8C-4040-B8B3-732399207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50" w:line="261" w:lineRule="auto"/>
      <w:ind w:left="10" w:hanging="10"/>
    </w:pPr>
    <w:rPr>
      <w:rFonts w:ascii="Arial" w:eastAsia="Arial" w:hAnsi="Arial" w:cs="Arial"/>
      <w:color w:val="000000"/>
      <w:sz w:val="19"/>
    </w:rPr>
  </w:style>
  <w:style w:type="paragraph" w:styleId="Heading1">
    <w:name w:val="heading 1"/>
    <w:next w:val="Normal"/>
    <w:link w:val="Heading1Char"/>
    <w:uiPriority w:val="9"/>
    <w:unhideWhenUsed/>
    <w:qFormat/>
    <w:pPr>
      <w:keepNext/>
      <w:keepLines/>
      <w:spacing w:after="251"/>
      <w:ind w:left="10" w:hanging="10"/>
      <w:outlineLvl w:val="0"/>
    </w:pPr>
    <w:rPr>
      <w:rFonts w:ascii="Arial" w:eastAsia="Arial" w:hAnsi="Arial" w:cs="Arial"/>
      <w:b/>
      <w:i/>
      <w:color w:val="000000"/>
      <w:sz w:val="19"/>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000000"/>
      <w:sz w:val="19"/>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1D1216"/>
    <w:rPr>
      <w:sz w:val="18"/>
      <w:szCs w:val="18"/>
    </w:rPr>
  </w:style>
  <w:style w:type="paragraph" w:styleId="CommentText">
    <w:name w:val="annotation text"/>
    <w:basedOn w:val="Normal"/>
    <w:link w:val="CommentTextChar"/>
    <w:uiPriority w:val="99"/>
    <w:semiHidden/>
    <w:unhideWhenUsed/>
    <w:rsid w:val="001D1216"/>
    <w:pPr>
      <w:spacing w:line="240" w:lineRule="auto"/>
    </w:pPr>
    <w:rPr>
      <w:sz w:val="24"/>
      <w:szCs w:val="24"/>
    </w:rPr>
  </w:style>
  <w:style w:type="character" w:customStyle="1" w:styleId="CommentTextChar">
    <w:name w:val="Comment Text Char"/>
    <w:basedOn w:val="DefaultParagraphFont"/>
    <w:link w:val="CommentText"/>
    <w:uiPriority w:val="99"/>
    <w:semiHidden/>
    <w:rsid w:val="001D1216"/>
    <w:rPr>
      <w:rFonts w:ascii="Arial" w:eastAsia="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1D1216"/>
    <w:rPr>
      <w:b/>
      <w:bCs/>
      <w:sz w:val="20"/>
      <w:szCs w:val="20"/>
    </w:rPr>
  </w:style>
  <w:style w:type="character" w:customStyle="1" w:styleId="CommentSubjectChar">
    <w:name w:val="Comment Subject Char"/>
    <w:basedOn w:val="CommentTextChar"/>
    <w:link w:val="CommentSubject"/>
    <w:uiPriority w:val="99"/>
    <w:semiHidden/>
    <w:rsid w:val="001D1216"/>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1D121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1216"/>
    <w:rPr>
      <w:rFonts w:ascii="Times New Roman" w:eastAsia="Arial" w:hAnsi="Times New Roman" w:cs="Times New Roman"/>
      <w:color w:val="000000"/>
      <w:sz w:val="18"/>
      <w:szCs w:val="18"/>
    </w:rPr>
  </w:style>
  <w:style w:type="character" w:styleId="Hyperlink">
    <w:name w:val="Hyperlink"/>
    <w:basedOn w:val="DefaultParagraphFont"/>
    <w:uiPriority w:val="99"/>
    <w:unhideWhenUsed/>
    <w:rsid w:val="00CC75AD"/>
    <w:rPr>
      <w:color w:val="0563C1" w:themeColor="hyperlink"/>
      <w:u w:val="single"/>
    </w:rPr>
  </w:style>
  <w:style w:type="paragraph" w:styleId="HTMLPreformatted">
    <w:name w:val="HTML Preformatted"/>
    <w:basedOn w:val="Normal"/>
    <w:link w:val="HTMLPreformattedChar"/>
    <w:uiPriority w:val="99"/>
    <w:unhideWhenUsed/>
    <w:rsid w:val="00296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rsid w:val="00296E8E"/>
    <w:rPr>
      <w:rFonts w:ascii="Courier New" w:eastAsia="Times New Roman" w:hAnsi="Courier New" w:cs="Courier New"/>
      <w:sz w:val="20"/>
      <w:szCs w:val="20"/>
    </w:rPr>
  </w:style>
  <w:style w:type="paragraph" w:styleId="ListParagraph">
    <w:name w:val="List Paragraph"/>
    <w:basedOn w:val="Normal"/>
    <w:uiPriority w:val="34"/>
    <w:qFormat/>
    <w:rsid w:val="00185CDE"/>
    <w:pPr>
      <w:ind w:left="720"/>
      <w:contextualSpacing/>
    </w:pPr>
  </w:style>
  <w:style w:type="paragraph" w:styleId="Revision">
    <w:name w:val="Revision"/>
    <w:hidden/>
    <w:uiPriority w:val="99"/>
    <w:semiHidden/>
    <w:rsid w:val="00923944"/>
    <w:pPr>
      <w:spacing w:after="0" w:line="240" w:lineRule="auto"/>
    </w:pPr>
    <w:rPr>
      <w:rFonts w:ascii="Arial" w:eastAsia="Arial" w:hAnsi="Arial" w:cs="Arial"/>
      <w:color w:val="000000"/>
      <w:sz w:val="19"/>
    </w:rPr>
  </w:style>
  <w:style w:type="character" w:styleId="FollowedHyperlink">
    <w:name w:val="FollowedHyperlink"/>
    <w:basedOn w:val="DefaultParagraphFont"/>
    <w:uiPriority w:val="99"/>
    <w:semiHidden/>
    <w:unhideWhenUsed/>
    <w:rsid w:val="00CA6E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325378">
      <w:bodyDiv w:val="1"/>
      <w:marLeft w:val="0"/>
      <w:marRight w:val="0"/>
      <w:marTop w:val="0"/>
      <w:marBottom w:val="0"/>
      <w:divBdr>
        <w:top w:val="none" w:sz="0" w:space="0" w:color="auto"/>
        <w:left w:val="none" w:sz="0" w:space="0" w:color="auto"/>
        <w:bottom w:val="none" w:sz="0" w:space="0" w:color="auto"/>
        <w:right w:val="none" w:sz="0" w:space="0" w:color="auto"/>
      </w:divBdr>
    </w:div>
    <w:div w:id="822744306">
      <w:bodyDiv w:val="1"/>
      <w:marLeft w:val="0"/>
      <w:marRight w:val="0"/>
      <w:marTop w:val="0"/>
      <w:marBottom w:val="0"/>
      <w:divBdr>
        <w:top w:val="none" w:sz="0" w:space="0" w:color="auto"/>
        <w:left w:val="none" w:sz="0" w:space="0" w:color="auto"/>
        <w:bottom w:val="none" w:sz="0" w:space="0" w:color="auto"/>
        <w:right w:val="none" w:sz="0" w:space="0" w:color="auto"/>
      </w:divBdr>
    </w:div>
    <w:div w:id="1192842983">
      <w:bodyDiv w:val="1"/>
      <w:marLeft w:val="0"/>
      <w:marRight w:val="0"/>
      <w:marTop w:val="0"/>
      <w:marBottom w:val="0"/>
      <w:divBdr>
        <w:top w:val="none" w:sz="0" w:space="0" w:color="auto"/>
        <w:left w:val="none" w:sz="0" w:space="0" w:color="auto"/>
        <w:bottom w:val="none" w:sz="0" w:space="0" w:color="auto"/>
        <w:right w:val="none" w:sz="0" w:space="0" w:color="auto"/>
      </w:divBdr>
    </w:div>
    <w:div w:id="1233929944">
      <w:bodyDiv w:val="1"/>
      <w:marLeft w:val="0"/>
      <w:marRight w:val="0"/>
      <w:marTop w:val="0"/>
      <w:marBottom w:val="0"/>
      <w:divBdr>
        <w:top w:val="none" w:sz="0" w:space="0" w:color="auto"/>
        <w:left w:val="none" w:sz="0" w:space="0" w:color="auto"/>
        <w:bottom w:val="none" w:sz="0" w:space="0" w:color="auto"/>
        <w:right w:val="none" w:sz="0" w:space="0" w:color="auto"/>
      </w:divBdr>
    </w:div>
    <w:div w:id="1262059249">
      <w:bodyDiv w:val="1"/>
      <w:marLeft w:val="0"/>
      <w:marRight w:val="0"/>
      <w:marTop w:val="0"/>
      <w:marBottom w:val="0"/>
      <w:divBdr>
        <w:top w:val="none" w:sz="0" w:space="0" w:color="auto"/>
        <w:left w:val="none" w:sz="0" w:space="0" w:color="auto"/>
        <w:bottom w:val="none" w:sz="0" w:space="0" w:color="auto"/>
        <w:right w:val="none" w:sz="0" w:space="0" w:color="auto"/>
      </w:divBdr>
    </w:div>
    <w:div w:id="1628586365">
      <w:bodyDiv w:val="1"/>
      <w:marLeft w:val="0"/>
      <w:marRight w:val="0"/>
      <w:marTop w:val="0"/>
      <w:marBottom w:val="0"/>
      <w:divBdr>
        <w:top w:val="none" w:sz="0" w:space="0" w:color="auto"/>
        <w:left w:val="none" w:sz="0" w:space="0" w:color="auto"/>
        <w:bottom w:val="none" w:sz="0" w:space="0" w:color="auto"/>
        <w:right w:val="none" w:sz="0" w:space="0" w:color="auto"/>
      </w:divBdr>
    </w:div>
    <w:div w:id="1990354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Mater Health Services</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Perkins</dc:creator>
  <cp:lastModifiedBy>Bill Montgomery</cp:lastModifiedBy>
  <cp:revision>2</cp:revision>
  <dcterms:created xsi:type="dcterms:W3CDTF">2019-11-04T07:53:00Z</dcterms:created>
  <dcterms:modified xsi:type="dcterms:W3CDTF">2019-11-04T07:53:00Z</dcterms:modified>
</cp:coreProperties>
</file>